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791" w:rsidRDefault="003C5791" w:rsidP="00AF5122">
      <w:pPr>
        <w:spacing w:line="480" w:lineRule="auto"/>
        <w:jc w:val="both"/>
        <w:rPr>
          <w:rFonts w:ascii="Times New Roman" w:hAnsi="Times New Roman" w:cs="Times New Roman"/>
          <w:sz w:val="24"/>
          <w:szCs w:val="24"/>
        </w:rPr>
      </w:pPr>
      <w:bookmarkStart w:id="0" w:name="_GoBack"/>
      <w:bookmarkEnd w:id="0"/>
    </w:p>
    <w:p w:rsidR="003C5791" w:rsidRDefault="003C5791" w:rsidP="00AF5122">
      <w:pPr>
        <w:spacing w:line="480" w:lineRule="auto"/>
        <w:jc w:val="both"/>
        <w:rPr>
          <w:rFonts w:ascii="Times New Roman" w:hAnsi="Times New Roman" w:cs="Times New Roman"/>
          <w:sz w:val="24"/>
          <w:szCs w:val="24"/>
        </w:rPr>
      </w:pPr>
    </w:p>
    <w:p w:rsidR="003C5791" w:rsidRDefault="003C5791" w:rsidP="00AF5122">
      <w:pPr>
        <w:spacing w:line="480" w:lineRule="auto"/>
        <w:jc w:val="both"/>
        <w:rPr>
          <w:rFonts w:ascii="Times New Roman" w:hAnsi="Times New Roman" w:cs="Times New Roman"/>
          <w:sz w:val="24"/>
          <w:szCs w:val="24"/>
        </w:rPr>
      </w:pPr>
    </w:p>
    <w:p w:rsidR="00AF5122" w:rsidRPr="00AF5122" w:rsidRDefault="00AF5122" w:rsidP="003C5791">
      <w:pPr>
        <w:spacing w:line="480" w:lineRule="auto"/>
        <w:jc w:val="center"/>
        <w:rPr>
          <w:rFonts w:ascii="Times New Roman" w:hAnsi="Times New Roman" w:cs="Times New Roman"/>
          <w:sz w:val="24"/>
          <w:szCs w:val="24"/>
        </w:rPr>
      </w:pPr>
      <w:r w:rsidRPr="00AF5122">
        <w:rPr>
          <w:rFonts w:ascii="Times New Roman" w:hAnsi="Times New Roman" w:cs="Times New Roman"/>
          <w:sz w:val="24"/>
          <w:szCs w:val="24"/>
        </w:rPr>
        <w:t>Usefulness of porter’s five forces</w:t>
      </w:r>
    </w:p>
    <w:p w:rsidR="00AF5122" w:rsidRPr="00AF5122" w:rsidRDefault="00AF5122" w:rsidP="003C5791">
      <w:pPr>
        <w:spacing w:line="480" w:lineRule="auto"/>
        <w:jc w:val="center"/>
        <w:rPr>
          <w:rFonts w:ascii="Times New Roman" w:hAnsi="Times New Roman" w:cs="Times New Roman"/>
          <w:sz w:val="24"/>
          <w:szCs w:val="24"/>
        </w:rPr>
      </w:pPr>
      <w:r w:rsidRPr="00AF5122">
        <w:rPr>
          <w:rFonts w:ascii="Times New Roman" w:hAnsi="Times New Roman" w:cs="Times New Roman"/>
          <w:sz w:val="24"/>
          <w:szCs w:val="24"/>
        </w:rPr>
        <w:t>Name</w:t>
      </w:r>
    </w:p>
    <w:p w:rsidR="00AF5122" w:rsidRPr="00AF5122" w:rsidRDefault="00AF5122" w:rsidP="003C5791">
      <w:pPr>
        <w:spacing w:line="480" w:lineRule="auto"/>
        <w:jc w:val="center"/>
        <w:rPr>
          <w:rFonts w:ascii="Times New Roman" w:hAnsi="Times New Roman" w:cs="Times New Roman"/>
          <w:sz w:val="24"/>
          <w:szCs w:val="24"/>
        </w:rPr>
      </w:pPr>
      <w:r w:rsidRPr="00AF5122">
        <w:rPr>
          <w:rFonts w:ascii="Times New Roman" w:hAnsi="Times New Roman" w:cs="Times New Roman"/>
          <w:sz w:val="24"/>
          <w:szCs w:val="24"/>
        </w:rPr>
        <w:t>Institution</w:t>
      </w:r>
    </w:p>
    <w:p w:rsidR="00AF5122" w:rsidRPr="00AF5122" w:rsidRDefault="00AF5122" w:rsidP="003C5791">
      <w:pPr>
        <w:spacing w:line="480" w:lineRule="auto"/>
        <w:jc w:val="center"/>
        <w:rPr>
          <w:rFonts w:ascii="Times New Roman" w:hAnsi="Times New Roman" w:cs="Times New Roman"/>
          <w:sz w:val="24"/>
          <w:szCs w:val="24"/>
        </w:rPr>
      </w:pPr>
      <w:r w:rsidRPr="00AF5122">
        <w:rPr>
          <w:rFonts w:ascii="Times New Roman" w:hAnsi="Times New Roman" w:cs="Times New Roman"/>
          <w:sz w:val="24"/>
          <w:szCs w:val="24"/>
        </w:rPr>
        <w:t>Date</w:t>
      </w: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AF5122">
      <w:pPr>
        <w:spacing w:line="480" w:lineRule="auto"/>
        <w:ind w:firstLine="720"/>
        <w:jc w:val="both"/>
        <w:rPr>
          <w:rFonts w:ascii="Times New Roman" w:hAnsi="Times New Roman" w:cs="Times New Roman"/>
          <w:sz w:val="24"/>
          <w:szCs w:val="24"/>
        </w:rPr>
      </w:pPr>
    </w:p>
    <w:p w:rsidR="003C5791" w:rsidRDefault="003C5791" w:rsidP="003C5791">
      <w:pPr>
        <w:spacing w:line="480" w:lineRule="auto"/>
        <w:ind w:firstLine="720"/>
        <w:jc w:val="center"/>
        <w:rPr>
          <w:rFonts w:ascii="Times New Roman" w:hAnsi="Times New Roman" w:cs="Times New Roman"/>
          <w:sz w:val="24"/>
          <w:szCs w:val="24"/>
        </w:rPr>
      </w:pPr>
      <w:r w:rsidRPr="003C5791">
        <w:rPr>
          <w:rFonts w:ascii="Times New Roman" w:hAnsi="Times New Roman" w:cs="Times New Roman"/>
          <w:b/>
          <w:sz w:val="24"/>
          <w:szCs w:val="24"/>
        </w:rPr>
        <w:lastRenderedPageBreak/>
        <w:t>Introduction</w:t>
      </w:r>
    </w:p>
    <w:p w:rsidR="00AF5122" w:rsidRPr="00AF5122" w:rsidRDefault="00AF5122" w:rsidP="00AF5122">
      <w:pPr>
        <w:spacing w:line="480" w:lineRule="auto"/>
        <w:ind w:firstLine="720"/>
        <w:jc w:val="both"/>
        <w:rPr>
          <w:rFonts w:ascii="Times New Roman" w:hAnsi="Times New Roman" w:cs="Times New Roman"/>
          <w:sz w:val="24"/>
          <w:szCs w:val="24"/>
        </w:rPr>
      </w:pPr>
      <w:r w:rsidRPr="00AF5122">
        <w:rPr>
          <w:rFonts w:ascii="Times New Roman" w:hAnsi="Times New Roman" w:cs="Times New Roman"/>
          <w:sz w:val="24"/>
          <w:szCs w:val="24"/>
        </w:rPr>
        <w:t>The oil and gas industry stands to be a leading industry in the Middle Eastern. In this industry, there have been changes over time whereby generally bu</w:t>
      </w:r>
      <w:r w:rsidR="00297825">
        <w:rPr>
          <w:rFonts w:ascii="Times New Roman" w:hAnsi="Times New Roman" w:cs="Times New Roman"/>
          <w:sz w:val="24"/>
          <w:szCs w:val="24"/>
        </w:rPr>
        <w:t>sinesses and the economy</w:t>
      </w:r>
      <w:r w:rsidRPr="00AF5122">
        <w:rPr>
          <w:rFonts w:ascii="Times New Roman" w:hAnsi="Times New Roman" w:cs="Times New Roman"/>
          <w:sz w:val="24"/>
          <w:szCs w:val="24"/>
        </w:rPr>
        <w:t xml:space="preserve"> has been affected. This industry has for a long time been working on techno-based innovation in different parts of the world. Besides, within the oil and gas industry, there are several companies in the Middle Eastern with the integrated oil and gas companies being the best-known company in this industry. Other companies include Arabia Pipe Company and Arabtec holding among other but oil and Gas Company seem to be the leading company in the oil and gas industry. This paper concerns the usefulness of the Porter’s Five Forces Model in this industry. </w:t>
      </w:r>
    </w:p>
    <w:p w:rsidR="00AF5122" w:rsidRPr="00AF5122" w:rsidRDefault="00AF5122" w:rsidP="00AF5122">
      <w:pPr>
        <w:spacing w:line="480" w:lineRule="auto"/>
        <w:ind w:firstLine="720"/>
        <w:jc w:val="both"/>
        <w:rPr>
          <w:rFonts w:ascii="Times New Roman" w:hAnsi="Times New Roman" w:cs="Times New Roman"/>
          <w:sz w:val="24"/>
          <w:szCs w:val="24"/>
        </w:rPr>
      </w:pPr>
      <w:r w:rsidRPr="00AF5122">
        <w:rPr>
          <w:rFonts w:ascii="Times New Roman" w:hAnsi="Times New Roman" w:cs="Times New Roman"/>
          <w:sz w:val="24"/>
          <w:szCs w:val="24"/>
        </w:rPr>
        <w:t>In the Middle East, there are a couple of industries that are served by the companies within them. In these cases, oil and gas industry is one of the best industries that supportively sustain economy and businesses in this region as compared to other industries like Retail and real Estates industries (Herkenhoff, 2018).  Porter’s Five Forces Model stands to be useful in this industry because it provides a framework and strategic tools that can be applied in evaluating potential opportunities as well as threats for this gas and oil industry in Middle Eastern. By use of this model, this company can be analyzed based on competitive rivalry, risks related to new entrants, substitutes, as well as the bargaining power of both sellers and buyers.</w:t>
      </w:r>
    </w:p>
    <w:p w:rsidR="00AF5122" w:rsidRPr="00AF5122" w:rsidRDefault="00AF5122" w:rsidP="00AF5122">
      <w:pPr>
        <w:spacing w:line="480" w:lineRule="auto"/>
        <w:ind w:firstLine="720"/>
        <w:jc w:val="both"/>
        <w:rPr>
          <w:rFonts w:ascii="Times New Roman" w:hAnsi="Times New Roman" w:cs="Times New Roman"/>
          <w:sz w:val="24"/>
          <w:szCs w:val="24"/>
        </w:rPr>
      </w:pPr>
      <w:r w:rsidRPr="00AF5122">
        <w:rPr>
          <w:rFonts w:ascii="Times New Roman" w:hAnsi="Times New Roman" w:cs="Times New Roman"/>
          <w:sz w:val="24"/>
          <w:szCs w:val="24"/>
        </w:rPr>
        <w:t>Based on a competitive rivalry, the nature of competition for gas and oil industry has been significantly intensive with just a few industries offering oil and gas products in the world market. Essentially, oil and gas industry tackles competition by establishing a sustainable differentiation and creating a scale to compete effectively. In this industry, for a long time, it has not been easy for new competitors to enter in oil and gas industry although has is a threat of new entrants from the national oil companies in India (Ayoubi, Mehrabanfar &amp; Banaitis, 2018).  Regarding buyers bargaining power, most of the buyers of gas and oil products in this region include traders, distribution companies, refineries, national oil companies and the intentional distribution of gas and oil companies who have for a long-term longing to get the products at relatively low prices. There have been threats from substitutes mostly biofuels which have affected the behavior of both buyers and sellers of the oil and gas products.  This industry has been trying to handle new entrant’s threats by introducing the most modern products as well as new products that will make customers buy new products. Besides, it has built a strategy for using the money on development and market research.</w:t>
      </w:r>
    </w:p>
    <w:p w:rsidR="00AF5122" w:rsidRPr="00AF5122" w:rsidRDefault="00AF5122" w:rsidP="00AF5122">
      <w:pPr>
        <w:spacing w:line="480" w:lineRule="auto"/>
        <w:ind w:firstLine="720"/>
        <w:jc w:val="both"/>
        <w:rPr>
          <w:rFonts w:ascii="Times New Roman" w:hAnsi="Times New Roman" w:cs="Times New Roman"/>
          <w:sz w:val="24"/>
          <w:szCs w:val="24"/>
        </w:rPr>
      </w:pPr>
      <w:r w:rsidRPr="00AF5122">
        <w:rPr>
          <w:rFonts w:ascii="Times New Roman" w:hAnsi="Times New Roman" w:cs="Times New Roman"/>
          <w:sz w:val="24"/>
          <w:szCs w:val="24"/>
        </w:rPr>
        <w:t>Most companies in oil and gas usually buy raw materials from different suppliers and thus since suppliers dominate the industry have high bargaining power in extracting high prices from the industry. Oil and gas industry tackles the supplier’s bargaining power by creating an efficient chain of supply for multiple suppliers. When dealing with the bargaining power of the buyers this industry builds s massive customer’s base to reduce buyers bargaining power and also provide the industry with an opportunity to streamline the process of production and sales. The trade deals with the threat of substitute by being service oriented rather than product oriented as well as ensuring that experiences an increased switching cost.</w:t>
      </w:r>
    </w:p>
    <w:p w:rsidR="00AF5122" w:rsidRPr="00AF5122" w:rsidRDefault="00AF5122" w:rsidP="00AF5122">
      <w:pPr>
        <w:spacing w:line="480" w:lineRule="auto"/>
        <w:jc w:val="both"/>
        <w:rPr>
          <w:rFonts w:ascii="Times New Roman" w:hAnsi="Times New Roman" w:cs="Times New Roman"/>
          <w:sz w:val="24"/>
          <w:szCs w:val="24"/>
        </w:rPr>
      </w:pPr>
    </w:p>
    <w:p w:rsidR="00297825" w:rsidRDefault="00297825" w:rsidP="00AF5122">
      <w:pPr>
        <w:spacing w:line="480" w:lineRule="auto"/>
        <w:jc w:val="center"/>
        <w:rPr>
          <w:rFonts w:ascii="Times New Roman" w:hAnsi="Times New Roman" w:cs="Times New Roman"/>
          <w:b/>
          <w:sz w:val="24"/>
          <w:szCs w:val="24"/>
        </w:rPr>
      </w:pPr>
    </w:p>
    <w:p w:rsidR="00297825" w:rsidRDefault="00297825" w:rsidP="00AF5122">
      <w:pPr>
        <w:spacing w:line="480" w:lineRule="auto"/>
        <w:jc w:val="center"/>
        <w:rPr>
          <w:rFonts w:ascii="Times New Roman" w:hAnsi="Times New Roman" w:cs="Times New Roman"/>
          <w:b/>
          <w:sz w:val="24"/>
          <w:szCs w:val="24"/>
        </w:rPr>
      </w:pPr>
    </w:p>
    <w:p w:rsidR="00297825" w:rsidRDefault="00297825" w:rsidP="00AF5122">
      <w:pPr>
        <w:spacing w:line="480" w:lineRule="auto"/>
        <w:jc w:val="center"/>
        <w:rPr>
          <w:rFonts w:ascii="Times New Roman" w:hAnsi="Times New Roman" w:cs="Times New Roman"/>
          <w:b/>
          <w:sz w:val="24"/>
          <w:szCs w:val="24"/>
        </w:rPr>
      </w:pPr>
    </w:p>
    <w:p w:rsidR="00AF5122" w:rsidRPr="00AF5122" w:rsidRDefault="00AF5122" w:rsidP="00AF5122">
      <w:pPr>
        <w:spacing w:line="480" w:lineRule="auto"/>
        <w:jc w:val="center"/>
        <w:rPr>
          <w:rFonts w:ascii="Times New Roman" w:hAnsi="Times New Roman" w:cs="Times New Roman"/>
          <w:sz w:val="24"/>
          <w:szCs w:val="24"/>
        </w:rPr>
      </w:pPr>
      <w:r w:rsidRPr="00AF5122">
        <w:rPr>
          <w:rFonts w:ascii="Times New Roman" w:hAnsi="Times New Roman" w:cs="Times New Roman"/>
          <w:b/>
          <w:sz w:val="24"/>
          <w:szCs w:val="24"/>
        </w:rPr>
        <w:t>References</w:t>
      </w:r>
    </w:p>
    <w:p w:rsidR="00AF5122" w:rsidRPr="00D462F0" w:rsidRDefault="00AF5122" w:rsidP="00AF5122">
      <w:pPr>
        <w:spacing w:line="480" w:lineRule="auto"/>
        <w:ind w:left="720" w:hanging="720"/>
        <w:jc w:val="both"/>
        <w:rPr>
          <w:rFonts w:ascii="Times New Roman" w:hAnsi="Times New Roman" w:cs="Times New Roman"/>
          <w:sz w:val="24"/>
          <w:szCs w:val="24"/>
        </w:rPr>
      </w:pPr>
      <w:r w:rsidRPr="00AF5122">
        <w:rPr>
          <w:rFonts w:ascii="Times New Roman" w:hAnsi="Times New Roman" w:cs="Times New Roman"/>
          <w:sz w:val="24"/>
          <w:szCs w:val="24"/>
        </w:rPr>
        <w:t>Ayoubi, M., Mehrabanfar, E., &amp; Banaitis, A. (2018). Guidelines on Designing Conceptual Framework for Strategic Management with Application to the Energy Industry. Administrative Sciences, 8(3), 27.</w:t>
      </w:r>
    </w:p>
    <w:p w:rsidR="00AF5122" w:rsidRPr="00AF5122" w:rsidRDefault="00AF5122" w:rsidP="00AF5122">
      <w:pPr>
        <w:spacing w:line="480" w:lineRule="auto"/>
        <w:ind w:left="720" w:hanging="720"/>
        <w:jc w:val="both"/>
        <w:rPr>
          <w:rFonts w:ascii="Times New Roman" w:hAnsi="Times New Roman" w:cs="Times New Roman"/>
          <w:sz w:val="24"/>
          <w:szCs w:val="24"/>
        </w:rPr>
      </w:pPr>
      <w:r w:rsidRPr="00AF5122">
        <w:rPr>
          <w:rFonts w:ascii="Times New Roman" w:hAnsi="Times New Roman" w:cs="Times New Roman"/>
          <w:sz w:val="24"/>
          <w:szCs w:val="24"/>
        </w:rPr>
        <w:t>Herkenhoff, L. (2018). A Profile of the Oil and Gas Industry: Resources, Market Forces, Geopolitics, and Technology. Business Expert Press.</w:t>
      </w:r>
    </w:p>
    <w:sectPr w:rsidR="00AF5122" w:rsidRPr="00AF5122" w:rsidSect="00F075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330" w:rsidRDefault="00CE2330" w:rsidP="00F075CE">
      <w:pPr>
        <w:spacing w:after="0" w:line="240" w:lineRule="auto"/>
      </w:pPr>
      <w:r>
        <w:separator/>
      </w:r>
    </w:p>
  </w:endnote>
  <w:endnote w:type="continuationSeparator" w:id="0">
    <w:p w:rsidR="00CE2330" w:rsidRDefault="00CE2330" w:rsidP="00F0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330" w:rsidRDefault="00CE2330" w:rsidP="00F075CE">
      <w:pPr>
        <w:spacing w:after="0" w:line="240" w:lineRule="auto"/>
      </w:pPr>
      <w:r>
        <w:separator/>
      </w:r>
    </w:p>
  </w:footnote>
  <w:footnote w:type="continuationSeparator" w:id="0">
    <w:p w:rsidR="00CE2330" w:rsidRDefault="00CE2330" w:rsidP="00F0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4001068"/>
      <w:docPartObj>
        <w:docPartGallery w:val="Page Numbers (Top of Page)"/>
        <w:docPartUnique/>
      </w:docPartObj>
    </w:sdtPr>
    <w:sdtEndPr>
      <w:rPr>
        <w:noProof/>
      </w:rPr>
    </w:sdtEndPr>
    <w:sdtContent>
      <w:p w:rsidR="00F075CE" w:rsidRPr="00F075CE" w:rsidRDefault="00F075CE" w:rsidP="00F075CE">
        <w:pPr>
          <w:pStyle w:val="Header"/>
          <w:spacing w:line="480" w:lineRule="auto"/>
          <w:rPr>
            <w:rFonts w:ascii="Times New Roman" w:hAnsi="Times New Roman" w:cs="Times New Roman"/>
            <w:sz w:val="24"/>
            <w:szCs w:val="24"/>
          </w:rPr>
        </w:pPr>
        <w:r w:rsidRPr="00F075CE">
          <w:rPr>
            <w:rFonts w:ascii="Times New Roman" w:hAnsi="Times New Roman" w:cs="Times New Roman"/>
            <w:sz w:val="24"/>
            <w:szCs w:val="24"/>
          </w:rPr>
          <w:t xml:space="preserve">USEFULNESS OF PORTER’S FIVE FORCES                </w:t>
        </w:r>
        <w:r>
          <w:rPr>
            <w:rFonts w:ascii="Times New Roman" w:hAnsi="Times New Roman" w:cs="Times New Roman"/>
            <w:sz w:val="24"/>
            <w:szCs w:val="24"/>
          </w:rPr>
          <w:t xml:space="preserve">                           </w:t>
        </w:r>
        <w:r w:rsidRPr="00F075CE">
          <w:rPr>
            <w:rFonts w:ascii="Times New Roman" w:hAnsi="Times New Roman" w:cs="Times New Roman"/>
            <w:sz w:val="24"/>
            <w:szCs w:val="24"/>
          </w:rPr>
          <w:t xml:space="preserve">                                  </w:t>
        </w:r>
        <w:r w:rsidRPr="00F075CE">
          <w:rPr>
            <w:rFonts w:ascii="Times New Roman" w:hAnsi="Times New Roman" w:cs="Times New Roman"/>
            <w:sz w:val="24"/>
            <w:szCs w:val="24"/>
          </w:rPr>
          <w:fldChar w:fldCharType="begin"/>
        </w:r>
        <w:r w:rsidRPr="00F075CE">
          <w:rPr>
            <w:rFonts w:ascii="Times New Roman" w:hAnsi="Times New Roman" w:cs="Times New Roman"/>
            <w:sz w:val="24"/>
            <w:szCs w:val="24"/>
          </w:rPr>
          <w:instrText xml:space="preserve"> PAGE   \* MERGEFORMAT </w:instrText>
        </w:r>
        <w:r w:rsidRPr="00F075CE">
          <w:rPr>
            <w:rFonts w:ascii="Times New Roman" w:hAnsi="Times New Roman" w:cs="Times New Roman"/>
            <w:sz w:val="24"/>
            <w:szCs w:val="24"/>
          </w:rPr>
          <w:fldChar w:fldCharType="separate"/>
        </w:r>
        <w:r w:rsidR="00976776">
          <w:rPr>
            <w:rFonts w:ascii="Times New Roman" w:hAnsi="Times New Roman" w:cs="Times New Roman"/>
            <w:noProof/>
            <w:sz w:val="24"/>
            <w:szCs w:val="24"/>
          </w:rPr>
          <w:t>4</w:t>
        </w:r>
        <w:r w:rsidRPr="00F075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5CE" w:rsidRPr="00F075CE" w:rsidRDefault="00F075CE" w:rsidP="00F075CE">
    <w:pPr>
      <w:spacing w:line="480" w:lineRule="auto"/>
      <w:rPr>
        <w:rFonts w:ascii="Times New Roman" w:hAnsi="Times New Roman" w:cs="Times New Roman"/>
        <w:sz w:val="24"/>
        <w:szCs w:val="24"/>
      </w:rPr>
    </w:pPr>
    <w:r w:rsidRPr="00F075CE">
      <w:rPr>
        <w:rFonts w:ascii="Times New Roman" w:hAnsi="Times New Roman" w:cs="Times New Roman"/>
        <w:sz w:val="24"/>
        <w:szCs w:val="24"/>
      </w:rPr>
      <w:t>Running Head: USEFULNESS OF PORTE</w:t>
    </w:r>
    <w:r>
      <w:rPr>
        <w:rFonts w:ascii="Times New Roman" w:hAnsi="Times New Roman" w:cs="Times New Roman"/>
        <w:sz w:val="24"/>
        <w:szCs w:val="24"/>
      </w:rPr>
      <w:t xml:space="preserve">R’S FIVE FORCES                                                  </w:t>
    </w:r>
    <w:r w:rsidRPr="00F075C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0C"/>
    <w:rsid w:val="000A36EA"/>
    <w:rsid w:val="001450B6"/>
    <w:rsid w:val="0020109C"/>
    <w:rsid w:val="002564EE"/>
    <w:rsid w:val="00275CAC"/>
    <w:rsid w:val="002958BF"/>
    <w:rsid w:val="00297825"/>
    <w:rsid w:val="002C00AA"/>
    <w:rsid w:val="002E51FB"/>
    <w:rsid w:val="002F3569"/>
    <w:rsid w:val="002F75A3"/>
    <w:rsid w:val="00327EFC"/>
    <w:rsid w:val="00350B68"/>
    <w:rsid w:val="00373615"/>
    <w:rsid w:val="003A52BE"/>
    <w:rsid w:val="003C5791"/>
    <w:rsid w:val="004419C5"/>
    <w:rsid w:val="005B102E"/>
    <w:rsid w:val="005F21FC"/>
    <w:rsid w:val="006279AA"/>
    <w:rsid w:val="006311B9"/>
    <w:rsid w:val="0067544E"/>
    <w:rsid w:val="00793375"/>
    <w:rsid w:val="007C4FCB"/>
    <w:rsid w:val="00806684"/>
    <w:rsid w:val="00876479"/>
    <w:rsid w:val="008B6162"/>
    <w:rsid w:val="0095565B"/>
    <w:rsid w:val="00976776"/>
    <w:rsid w:val="009B4A4D"/>
    <w:rsid w:val="009C3E56"/>
    <w:rsid w:val="00A2749D"/>
    <w:rsid w:val="00AD255D"/>
    <w:rsid w:val="00AF5122"/>
    <w:rsid w:val="00B225A7"/>
    <w:rsid w:val="00B37362"/>
    <w:rsid w:val="00BD76ED"/>
    <w:rsid w:val="00CE2330"/>
    <w:rsid w:val="00D31DDB"/>
    <w:rsid w:val="00D462F0"/>
    <w:rsid w:val="00D61C8C"/>
    <w:rsid w:val="00D8690C"/>
    <w:rsid w:val="00DD3A3B"/>
    <w:rsid w:val="00DD3E36"/>
    <w:rsid w:val="00E12FB0"/>
    <w:rsid w:val="00ED189A"/>
    <w:rsid w:val="00EF64A2"/>
    <w:rsid w:val="00F075CE"/>
    <w:rsid w:val="00F514BF"/>
    <w:rsid w:val="00F71B0F"/>
    <w:rsid w:val="00F7637F"/>
    <w:rsid w:val="00FC4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72F085-610D-4849-94C3-BDCA0CF3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5CE"/>
  </w:style>
  <w:style w:type="paragraph" w:styleId="Footer">
    <w:name w:val="footer"/>
    <w:basedOn w:val="Normal"/>
    <w:link w:val="FooterChar"/>
    <w:uiPriority w:val="99"/>
    <w:unhideWhenUsed/>
    <w:rsid w:val="00F07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2018-09-10T18:34:00Z</dcterms:created>
  <dcterms:modified xsi:type="dcterms:W3CDTF">2018-09-10T18:34:00Z</dcterms:modified>
</cp:coreProperties>
</file>