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8A31C" w14:textId="77777777" w:rsidR="00400664" w:rsidRDefault="00400664">
      <w:pPr>
        <w:pStyle w:val="Heading2"/>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2AF65392" w14:textId="77777777" w:rsidR="00400664" w:rsidRDefault="00400664">
      <w:pPr>
        <w:pStyle w:val="Heading2"/>
        <w:rPr>
          <w:rFonts w:ascii="Arial" w:eastAsia="Times New Roman" w:hAnsi="Arial" w:cs="Arial"/>
          <w:color w:val="000000"/>
        </w:rPr>
      </w:pPr>
      <w:r>
        <w:rPr>
          <w:rFonts w:ascii="Arial" w:eastAsia="Times New Roman" w:hAnsi="Arial" w:cs="Arial"/>
          <w:i/>
          <w:iCs/>
          <w:noProof/>
          <w:color w:val="000000"/>
        </w:rPr>
        <mc:AlternateContent>
          <mc:Choice Requires="wps">
            <w:drawing>
              <wp:inline distT="0" distB="0" distL="0" distR="0" wp14:anchorId="212C2394" wp14:editId="355D9DC9">
                <wp:extent cx="7933055" cy="2553335"/>
                <wp:effectExtent l="0" t="0" r="0" b="0"/>
                <wp:docPr id="1" name="Rectangle 1" descr="Calvin's pills help him focus on his homewo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933055" cy="2553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55FB32" id="Rectangle 1" o:spid="_x0000_s1026" alt="Calvin's pills help him focus on his homework." style="width:624.65pt;height:201.0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" filled="f" stroked="f">
                <o:lock v:ext="edit" aspectratio="t"/>
                <w10:anchorlock/>
              </v:rect>
            </w:pict>
          </mc:Fallback>
        </mc:AlternateContent>
      </w:r>
    </w:p>
    <w:p w14:paraId="46F0DF2E" w14:textId="77777777" w:rsidR="00400664" w:rsidRDefault="00400664">
      <w:pPr>
        <w:divId w:val="1402217647"/>
        <w:rPr>
          <w:rFonts w:ascii="Arial" w:eastAsia="Times New Roman" w:hAnsi="Arial" w:cs="Arial"/>
          <w:color w:val="000000"/>
          <w:sz w:val="27"/>
          <w:szCs w:val="27"/>
        </w:rPr>
      </w:pPr>
      <w:r>
        <w:rPr>
          <w:rStyle w:val="Emphasis"/>
          <w:rFonts w:ascii="Arial" w:eastAsia="Times New Roman" w:hAnsi="Arial" w:cs="Arial"/>
          <w:color w:val="000000"/>
          <w:sz w:val="27"/>
          <w:szCs w:val="27"/>
        </w:rPr>
        <w:t> "The key to creating health is figuring out the cause of the problem and then providing the right conditions for the body and soul to thrive. It isn't taking another medication."</w:t>
      </w:r>
      <w:r>
        <w:rPr>
          <w:rStyle w:val="Strong"/>
          <w:rFonts w:ascii="Arial" w:eastAsia="Times New Roman" w:hAnsi="Arial" w:cs="Arial"/>
          <w:color w:val="000000"/>
          <w:sz w:val="27"/>
          <w:szCs w:val="27"/>
        </w:rPr>
        <w:t> </w:t>
      </w:r>
      <w:r>
        <w:rPr>
          <w:rFonts w:ascii="Arial" w:eastAsia="Times New Roman" w:hAnsi="Arial" w:cs="Arial"/>
          <w:color w:val="000000"/>
          <w:sz w:val="27"/>
          <w:szCs w:val="27"/>
        </w:rPr>
        <w:t>~ Mark Hyman, M.D.</w:t>
      </w:r>
    </w:p>
    <w:p w14:paraId="21AECB11" w14:textId="77777777" w:rsidR="00400664" w:rsidRDefault="00400664">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14:paraId="49B11F78" w14:textId="77777777" w:rsidR="00400664" w:rsidRDefault="00400664">
      <w:pPr>
        <w:pStyle w:val="xgmaildefault"/>
        <w:rPr>
          <w:rFonts w:ascii="Arial" w:hAnsi="Arial" w:cs="Arial"/>
          <w:color w:val="000000"/>
          <w:sz w:val="27"/>
          <w:szCs w:val="27"/>
        </w:rPr>
      </w:pPr>
      <w:r>
        <w:rPr>
          <w:rFonts w:ascii="Arial" w:hAnsi="Arial" w:cs="Arial"/>
          <w:color w:val="000000"/>
          <w:sz w:val="27"/>
          <w:szCs w:val="27"/>
        </w:rPr>
        <w:t>Is the risk of relapse the same for everyone? Do those with fewer resources relapse more often? Do more affluent people have more protection against relapse? What is the best way to prevent relapse?</w:t>
      </w:r>
    </w:p>
    <w:p w14:paraId="2B1125B2" w14:textId="77777777" w:rsidR="00400664" w:rsidRDefault="00400664">
      <w:pPr>
        <w:divId w:val="1910574555"/>
        <w:rPr>
          <w:rFonts w:ascii="Arial" w:eastAsia="Times New Roman" w:hAnsi="Arial" w:cs="Arial"/>
          <w:color w:val="000000"/>
          <w:sz w:val="27"/>
          <w:szCs w:val="27"/>
        </w:rPr>
      </w:pPr>
      <w:r>
        <w:rPr>
          <w:rStyle w:val="Emphasis"/>
          <w:rFonts w:ascii="Arial" w:eastAsia="Times New Roman" w:hAnsi="Arial" w:cs="Arial"/>
          <w:color w:val="000000"/>
          <w:sz w:val="27"/>
          <w:szCs w:val="27"/>
        </w:rPr>
        <w:t>Think about these questions as you watch the videos, complete the rest of the assignment, and engage in the discussion. Make sure you read and follow "The Discussion Instructions."</w:t>
      </w:r>
    </w:p>
    <w:p w14:paraId="4BDFF51B" w14:textId="77777777" w:rsidR="00400664" w:rsidRDefault="00400664">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69CAE5AC" w14:textId="77777777" w:rsidR="00400664" w:rsidRDefault="00400664">
      <w:pPr>
        <w:pStyle w:val="xgmaildefault"/>
        <w:rPr>
          <w:rFonts w:ascii="Arial" w:hAnsi="Arial" w:cs="Arial"/>
          <w:color w:val="000000"/>
          <w:sz w:val="27"/>
          <w:szCs w:val="27"/>
        </w:rPr>
      </w:pPr>
      <w:r>
        <w:rPr>
          <w:rFonts w:ascii="Arial" w:hAnsi="Arial" w:cs="Arial"/>
          <w:color w:val="000000"/>
          <w:sz w:val="27"/>
          <w:szCs w:val="27"/>
        </w:rPr>
        <w:t>Dwayne, your client, is close to successfully completing an inpatient program. To prepare for his discharge, you have a one-on-one session to discuss a discharge plan, which is the plan that details what clients should do post release for continued optimum health outcomes. Whether it is for </w:t>
      </w:r>
      <w:hyperlink r:id="rId5" w:tgtFrame="_blank" w:history="1">
        <w:r>
          <w:rPr>
            <w:rStyle w:val="Emphasis"/>
            <w:rFonts w:ascii="Arial" w:hAnsi="Arial" w:cs="Arial"/>
            <w:b/>
            <w:bCs/>
            <w:color w:val="0000FF"/>
            <w:sz w:val="27"/>
            <w:szCs w:val="27"/>
            <w:u w:val="single"/>
          </w:rPr>
          <w:t>mental health</w:t>
        </w:r>
      </w:hyperlink>
      <w:r>
        <w:rPr>
          <w:rFonts w:ascii="Arial" w:hAnsi="Arial" w:cs="Arial"/>
          <w:color w:val="000000"/>
          <w:sz w:val="27"/>
          <w:szCs w:val="27"/>
        </w:rPr>
        <w:t> or for </w:t>
      </w:r>
      <w:hyperlink r:id="rId6" w:tgtFrame="_blank" w:history="1">
        <w:r>
          <w:rPr>
            <w:rStyle w:val="Emphasis"/>
            <w:rFonts w:ascii="Arial" w:hAnsi="Arial" w:cs="Arial"/>
            <w:b/>
            <w:bCs/>
            <w:color w:val="0000FF"/>
            <w:sz w:val="27"/>
            <w:szCs w:val="27"/>
            <w:u w:val="single"/>
          </w:rPr>
          <w:t>substance use</w:t>
        </w:r>
      </w:hyperlink>
      <w:r>
        <w:rPr>
          <w:rFonts w:ascii="Arial" w:hAnsi="Arial" w:cs="Arial"/>
          <w:color w:val="000000"/>
          <w:sz w:val="27"/>
          <w:szCs w:val="27"/>
        </w:rPr>
        <w:t>, Dwayne does not believe he needs a </w:t>
      </w:r>
      <w:hyperlink r:id="rId7" w:tgtFrame="_blank" w:history="1">
        <w:r>
          <w:rPr>
            <w:rStyle w:val="Emphasis"/>
            <w:rFonts w:ascii="Arial" w:hAnsi="Arial" w:cs="Arial"/>
            <w:b/>
            <w:bCs/>
            <w:color w:val="0000FF"/>
            <w:sz w:val="27"/>
            <w:szCs w:val="27"/>
            <w:u w:val="single"/>
          </w:rPr>
          <w:t>discharge plan</w:t>
        </w:r>
      </w:hyperlink>
      <w:r>
        <w:rPr>
          <w:rFonts w:ascii="Arial" w:hAnsi="Arial" w:cs="Arial"/>
          <w:color w:val="000000"/>
          <w:sz w:val="27"/>
          <w:szCs w:val="27"/>
        </w:rPr>
        <w:t>. He feels that he can stay clean on his own now. He wants you to explain how he could relapse when he “knows everything already”. He insists that he "      nope                                      .”</w:t>
      </w:r>
    </w:p>
    <w:p w14:paraId="27D9E1A9" w14:textId="77777777" w:rsidR="00400664" w:rsidRDefault="00400664">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The Discussion Instructions</w:t>
      </w:r>
    </w:p>
    <w:p w14:paraId="6CB2D2A1" w14:textId="77777777" w:rsidR="00400664" w:rsidRDefault="00400664" w:rsidP="00400664">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Watch video 1.</w:t>
      </w:r>
      <w:r>
        <w:rPr>
          <w:rStyle w:val="Emphasis"/>
          <w:rFonts w:ascii="Arial" w:eastAsia="Times New Roman" w:hAnsi="Arial" w:cs="Arial"/>
          <w:b/>
          <w:bCs/>
          <w:color w:val="000000"/>
          <w:sz w:val="27"/>
          <w:szCs w:val="27"/>
        </w:rPr>
        <w:t> </w:t>
      </w:r>
      <w:r>
        <w:rPr>
          <w:rStyle w:val="Emphasis"/>
          <w:rFonts w:ascii="Arial" w:eastAsia="Times New Roman" w:hAnsi="Arial" w:cs="Arial"/>
          <w:color w:val="000000"/>
          <w:sz w:val="27"/>
          <w:szCs w:val="27"/>
        </w:rPr>
        <w:t>Hot Boys: "Get it How You Live."</w:t>
      </w:r>
      <w:r>
        <w:rPr>
          <w:rStyle w:val="Emphasis"/>
          <w:rFonts w:ascii="Arial" w:eastAsia="Times New Roman" w:hAnsi="Arial" w:cs="Arial"/>
          <w:b/>
          <w:bCs/>
          <w:color w:val="000000"/>
          <w:sz w:val="27"/>
          <w:szCs w:val="27"/>
        </w:rPr>
        <w:t> </w:t>
      </w:r>
      <w:hyperlink r:id="rId8" w:tgtFrame="_blank" w:history="1">
        <w:r>
          <w:rPr>
            <w:rStyle w:val="Hyperlink"/>
            <w:rFonts w:ascii="Arial" w:eastAsia="Times New Roman" w:hAnsi="Arial" w:cs="Arial"/>
            <w:b/>
            <w:bCs/>
            <w:i/>
            <w:iCs/>
            <w:sz w:val="27"/>
            <w:szCs w:val="27"/>
          </w:rPr>
          <w:t>here</w:t>
        </w:r>
      </w:hyperlink>
      <w:r>
        <w:rPr>
          <w:rStyle w:val="Emphasis"/>
          <w:rFonts w:ascii="Arial" w:eastAsia="Times New Roman" w:hAnsi="Arial" w:cs="Arial"/>
          <w:b/>
          <w:bCs/>
          <w:color w:val="000000"/>
          <w:sz w:val="27"/>
          <w:szCs w:val="27"/>
        </w:rPr>
        <w:t> </w:t>
      </w:r>
      <w:r>
        <w:rPr>
          <w:rFonts w:ascii="Arial" w:eastAsia="Times New Roman" w:hAnsi="Arial" w:cs="Arial"/>
          <w:color w:val="000000"/>
          <w:sz w:val="27"/>
          <w:szCs w:val="27"/>
        </w:rPr>
        <w:t>and video 2. </w:t>
      </w:r>
      <w:r>
        <w:rPr>
          <w:rStyle w:val="Emphasis"/>
          <w:rFonts w:ascii="Arial" w:eastAsia="Times New Roman" w:hAnsi="Arial" w:cs="Arial"/>
          <w:color w:val="000000"/>
          <w:sz w:val="27"/>
          <w:szCs w:val="27"/>
        </w:rPr>
        <w:t>"Lil Wayne's Untold Story"</w:t>
      </w:r>
      <w:r>
        <w:rPr>
          <w:rFonts w:ascii="Arial" w:eastAsia="Times New Roman" w:hAnsi="Arial" w:cs="Arial"/>
          <w:color w:val="000000"/>
          <w:sz w:val="27"/>
          <w:szCs w:val="27"/>
        </w:rPr>
        <w:t> </w:t>
      </w:r>
      <w:hyperlink r:id="rId9" w:tgtFrame="_blank" w:history="1">
        <w:r>
          <w:rPr>
            <w:rStyle w:val="Hyperlink"/>
            <w:rFonts w:ascii="Arial" w:eastAsia="Times New Roman" w:hAnsi="Arial" w:cs="Arial"/>
            <w:b/>
            <w:bCs/>
            <w:i/>
            <w:iCs/>
            <w:sz w:val="27"/>
            <w:szCs w:val="27"/>
          </w:rPr>
          <w:t>here.</w:t>
        </w:r>
      </w:hyperlink>
    </w:p>
    <w:p w14:paraId="23475A35" w14:textId="77777777" w:rsidR="00400664" w:rsidRDefault="00400664" w:rsidP="00400664">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Using the textbook, videos, module material, and other </w:t>
      </w:r>
      <w:hyperlink r:id="rId10" w:tgtFrame="_blank" w:history="1">
        <w:r>
          <w:rPr>
            <w:rStyle w:val="Hyperlink"/>
            <w:rFonts w:ascii="Arial" w:eastAsia="Times New Roman" w:hAnsi="Arial" w:cs="Arial"/>
            <w:b/>
            <w:bCs/>
            <w:i/>
            <w:iCs/>
            <w:sz w:val="27"/>
            <w:szCs w:val="27"/>
          </w:rPr>
          <w:t>resources</w:t>
        </w:r>
      </w:hyperlink>
      <w:r>
        <w:rPr>
          <w:rFonts w:ascii="Arial" w:eastAsia="Times New Roman" w:hAnsi="Arial" w:cs="Arial"/>
          <w:color w:val="000000"/>
          <w:sz w:val="27"/>
          <w:szCs w:val="27"/>
        </w:rPr>
        <w:t> discuss what kind of services you think Dwayne needs.</w:t>
      </w:r>
    </w:p>
    <w:p w14:paraId="035C7681" w14:textId="77777777" w:rsidR="00400664" w:rsidRDefault="00400664" w:rsidP="00400664">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What services would you initially refer Dwayne to?</w:t>
      </w:r>
    </w:p>
    <w:p w14:paraId="0D3ADEC6" w14:textId="77777777" w:rsidR="00400664" w:rsidRDefault="00400664" w:rsidP="00400664">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What difficulties might an addictions treatment professional experience while supporting Dwayne's treatment for a SUD, a mental health disorder, or both (co-occurring disorder).</w:t>
      </w:r>
    </w:p>
    <w:p w14:paraId="26811657" w14:textId="77777777" w:rsidR="00400664" w:rsidRDefault="00400664" w:rsidP="00400664">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 How might a mental health disorder and / or PAWS  increase Dwayne’s risk of relapse? </w:t>
      </w:r>
    </w:p>
    <w:p w14:paraId="4142DB3A" w14:textId="77777777" w:rsidR="00400664" w:rsidRDefault="00400664" w:rsidP="00400664">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 1 who feels similar and 1 who feels different.</w:t>
      </w:r>
    </w:p>
    <w:p w14:paraId="3CE10ED2" w14:textId="77777777" w:rsidR="00400664" w:rsidRDefault="00400664" w:rsidP="00400664">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Word count is 300 - 500 words.</w:t>
      </w:r>
    </w:p>
    <w:p w14:paraId="21026475" w14:textId="77777777" w:rsidR="00400664" w:rsidRDefault="00400664">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Note:</w:t>
      </w:r>
    </w:p>
    <w:p w14:paraId="73D4B1FF" w14:textId="77777777" w:rsidR="00400664" w:rsidRDefault="00400664" w:rsidP="00400664">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w:t>
      </w:r>
    </w:p>
    <w:p w14:paraId="41BD6724" w14:textId="77777777" w:rsidR="00400664" w:rsidRDefault="00400664" w:rsidP="00400664">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w:t>
      </w:r>
    </w:p>
    <w:p w14:paraId="1A2AB250" w14:textId="77777777" w:rsidR="00400664" w:rsidRDefault="00400664" w:rsidP="00400664">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73075F8E" w14:textId="77777777" w:rsidR="00400664" w:rsidRDefault="00400664" w:rsidP="00400664">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w:t>
      </w:r>
    </w:p>
    <w:p w14:paraId="7CE9C923" w14:textId="77777777" w:rsidR="00400664" w:rsidRDefault="00400664" w:rsidP="00400664">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See the discussion rubric for grading criteria.</w:t>
      </w:r>
    </w:p>
    <w:p w14:paraId="2FD63BFA" w14:textId="77777777" w:rsidR="00400664" w:rsidRDefault="00400664" w:rsidP="00400664">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Due date is Sunday, October 3, 2021 at 11:59 pm</w:t>
      </w:r>
    </w:p>
    <w:p w14:paraId="48C7ADD4" w14:textId="77777777" w:rsidR="00400664" w:rsidRDefault="00400664">
      <w:pPr>
        <w:pStyle w:val="Heading4"/>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2F6466D9" w14:textId="77777777" w:rsidR="00400664" w:rsidRDefault="00400664"/>
    <w:sectPr w:rsidR="00400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762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15699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64"/>
    <w:rsid w:val="00400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537777"/>
  <w15:chartTrackingRefBased/>
  <w15:docId w15:val="{8C429DF2-406D-E740-AC0F-FC77C747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006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06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006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006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0066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00664"/>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400664"/>
    <w:rPr>
      <w:b/>
      <w:bCs/>
    </w:rPr>
  </w:style>
  <w:style w:type="character" w:styleId="Emphasis">
    <w:name w:val="Emphasis"/>
    <w:basedOn w:val="DefaultParagraphFont"/>
    <w:uiPriority w:val="20"/>
    <w:qFormat/>
    <w:rsid w:val="00400664"/>
    <w:rPr>
      <w:i/>
      <w:iCs/>
    </w:rPr>
  </w:style>
  <w:style w:type="paragraph" w:customStyle="1" w:styleId="xgmaildefault">
    <w:name w:val="x_gmail_default"/>
    <w:basedOn w:val="Normal"/>
    <w:rsid w:val="0040066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4006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217647">
      <w:marLeft w:val="0"/>
      <w:marRight w:val="0"/>
      <w:marTop w:val="0"/>
      <w:marBottom w:val="0"/>
      <w:divBdr>
        <w:top w:val="none" w:sz="0" w:space="0" w:color="auto"/>
        <w:left w:val="none" w:sz="0" w:space="0" w:color="auto"/>
        <w:bottom w:val="none" w:sz="0" w:space="0" w:color="auto"/>
        <w:right w:val="none" w:sz="0" w:space="0" w:color="auto"/>
      </w:divBdr>
    </w:div>
    <w:div w:id="19105745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pwi.ng/c/cnXu1ZpKbf" TargetMode="External" /><Relationship Id="rId3" Type="http://schemas.openxmlformats.org/officeDocument/2006/relationships/settings" Target="settings.xml" /><Relationship Id="rId7" Type="http://schemas.openxmlformats.org/officeDocument/2006/relationships/hyperlink" Target="https://www.cms.gov/newsroom/press-releases/discharge-planning-proposed-rule-focuses-patient-preferences"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encorerecovery.com/discharge-planning-integral-continued-care/" TargetMode="External" /><Relationship Id="rId11" Type="http://schemas.openxmlformats.org/officeDocument/2006/relationships/fontTable" Target="fontTable.xml" /><Relationship Id="rId5" Type="http://schemas.openxmlformats.org/officeDocument/2006/relationships/hyperlink" Target="https://www.ncbi.nlm.nih.gov/pmc/articles/PMC6482710/" TargetMode="External" /><Relationship Id="rId10" Type="http://schemas.openxmlformats.org/officeDocument/2006/relationships/hyperlink" Target="https://www.ncbi.nlm.nih.gov/pmc/articles/PMC6482710/" TargetMode="External" /><Relationship Id="rId4" Type="http://schemas.openxmlformats.org/officeDocument/2006/relationships/webSettings" Target="webSettings.xml" /><Relationship Id="rId9" Type="http://schemas.openxmlformats.org/officeDocument/2006/relationships/hyperlink" Target="https://youtu.be/H_iKNketUX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2021-10-03T01:54:00Z</dcterms:created>
  <dcterms:modified xsi:type="dcterms:W3CDTF">2021-10-03T01:54:00Z</dcterms:modified>
</cp:coreProperties>
</file>