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Trebuchet MS" w:hAnsi="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For this unit use a single piece of text that is appropriate for the grade level and language arts academic standards. A poem, short story, newspaper article, or content area piece may serve as a single text selection.</w:t>
      </w:r>
    </w:p>
    <w:p>
      <w:pPr>
        <w:pStyle w:val="Default"/>
        <w:bidi w:val="0"/>
        <w:ind w:left="0" w:right="0" w:firstLine="0"/>
        <w:jc w:val="left"/>
        <w:rPr>
          <w:rFonts w:ascii="Trebuchet MS" w:cs="Trebuchet MS" w:hAnsi="Trebuchet MS" w:eastAsia="Trebuchet MS"/>
          <w:color w:val="ff2600"/>
          <w:sz w:val="26"/>
          <w:szCs w:val="26"/>
          <w:shd w:val="clear" w:color="auto" w:fill="ffffff"/>
          <w:rtl w:val="0"/>
        </w:rPr>
      </w:pPr>
      <w:r>
        <w:rPr>
          <w:rFonts w:ascii="Trebuchet MS" w:hAnsi="Trebuchet MS"/>
          <w:color w:val="ff2600"/>
          <w:sz w:val="26"/>
          <w:szCs w:val="26"/>
          <w:shd w:val="clear" w:color="auto" w:fill="ffffff"/>
          <w:rtl w:val="0"/>
          <w:lang w:val="en-US"/>
        </w:rPr>
        <w:t>Create a mini-lesson (15-30 minutes) to address each of the following areas related to literacy development:</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1</w:t>
        <w:tab/>
        <w:t>Monday: Oral language and vocabulary</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2</w:t>
        <w:tab/>
        <w:t>Tuesday: Phonics, word patterns, and word analysis</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3</w:t>
        <w:tab/>
        <w:t>Wednesday: Fluency</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4</w:t>
        <w:tab/>
        <w:t>Thursday: Reading Comprehension</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5</w:t>
        <w:tab/>
        <w:t>Friday:</w:t>
      </w:r>
      <w:r>
        <w:rPr>
          <w:rFonts w:ascii="Trebuchet MS" w:hAnsi="Trebuchet MS" w:hint="default"/>
          <w:color w:val="ff2600"/>
          <w:sz w:val="26"/>
          <w:szCs w:val="26"/>
          <w:shd w:val="clear" w:color="auto" w:fill="ffffff"/>
          <w:rtl w:val="0"/>
        </w:rPr>
        <w:t xml:space="preserve">  </w:t>
      </w:r>
      <w:r>
        <w:rPr>
          <w:rFonts w:ascii="Trebuchet MS" w:hAnsi="Trebuchet MS"/>
          <w:color w:val="ff2600"/>
          <w:sz w:val="26"/>
          <w:szCs w:val="26"/>
          <w:shd w:val="clear" w:color="auto" w:fill="ffffff"/>
          <w:rtl w:val="0"/>
          <w:lang w:val="en-US"/>
        </w:rPr>
        <w:t>Writing</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p>
    <w:p>
      <w:pPr>
        <w:pStyle w:val="Default"/>
        <w:bidi w:val="0"/>
        <w:ind w:left="0" w:right="0" w:firstLine="0"/>
        <w:jc w:val="left"/>
        <w:rPr>
          <w:rFonts w:ascii="Trebuchet MS" w:cs="Trebuchet MS" w:hAnsi="Trebuchet MS" w:eastAsia="Trebuchet MS"/>
          <w:color w:val="ff2600"/>
          <w:sz w:val="26"/>
          <w:szCs w:val="26"/>
          <w:shd w:val="clear" w:color="auto" w:fill="ffffff"/>
          <w:rtl w:val="0"/>
        </w:rPr>
      </w:pPr>
      <w:r>
        <w:rPr>
          <w:rFonts w:ascii="Trebuchet MS" w:hAnsi="Trebuchet MS"/>
          <w:color w:val="ff2600"/>
          <w:sz w:val="26"/>
          <w:szCs w:val="26"/>
          <w:shd w:val="clear" w:color="auto" w:fill="ffffff"/>
          <w:rtl w:val="0"/>
          <w:lang w:val="en-US"/>
        </w:rPr>
        <w:t>Each day</w:t>
      </w:r>
      <w:r>
        <w:rPr>
          <w:rFonts w:ascii="Trebuchet MS" w:hAnsi="Trebuchet MS" w:hint="default"/>
          <w:color w:val="ff2600"/>
          <w:sz w:val="26"/>
          <w:szCs w:val="26"/>
          <w:shd w:val="clear" w:color="auto" w:fill="ffffff"/>
          <w:rtl w:val="0"/>
        </w:rPr>
        <w:t>’</w:t>
      </w:r>
      <w:r>
        <w:rPr>
          <w:rFonts w:ascii="Trebuchet MS" w:hAnsi="Trebuchet MS"/>
          <w:color w:val="ff2600"/>
          <w:sz w:val="26"/>
          <w:szCs w:val="26"/>
          <w:shd w:val="clear" w:color="auto" w:fill="ffffff"/>
          <w:rtl w:val="0"/>
          <w:lang w:val="en-US"/>
        </w:rPr>
        <w:t>s mini-lesson should address an evaluation of learning that is objective and measurable, and directly assesses the students</w:t>
      </w:r>
      <w:r>
        <w:rPr>
          <w:rFonts w:ascii="Trebuchet MS" w:hAnsi="Trebuchet MS" w:hint="default"/>
          <w:color w:val="ff2600"/>
          <w:sz w:val="26"/>
          <w:szCs w:val="26"/>
          <w:shd w:val="clear" w:color="auto" w:fill="ffffff"/>
          <w:rtl w:val="0"/>
        </w:rPr>
        <w:t xml:space="preserve">’ </w:t>
      </w:r>
      <w:r>
        <w:rPr>
          <w:rFonts w:ascii="Trebuchet MS" w:hAnsi="Trebuchet MS"/>
          <w:color w:val="ff2600"/>
          <w:sz w:val="26"/>
          <w:szCs w:val="26"/>
          <w:shd w:val="clear" w:color="auto" w:fill="ffffff"/>
          <w:rtl w:val="0"/>
          <w:lang w:val="en-US"/>
        </w:rPr>
        <w:t>achievement of the targeted academic standards. Every lesson should have the following structure at a minimum:</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1</w:t>
        <w:tab/>
        <w:t>Objective (linked to academic standards)</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2</w:t>
        <w:tab/>
        <w:t>Materials (include copies of all materials to teach lesson)</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3</w:t>
        <w:tab/>
        <w:t>Procedure (a step-by-step description of the lesson from beginning to end)</w:t>
      </w:r>
    </w:p>
    <w:p>
      <w:pPr>
        <w:pStyle w:val="Default"/>
        <w:tabs>
          <w:tab w:val="left" w:pos="220"/>
          <w:tab w:val="left" w:pos="720"/>
        </w:tabs>
        <w:bidi w:val="0"/>
        <w:ind w:left="720" w:right="0" w:hanging="720"/>
        <w:jc w:val="left"/>
        <w:rPr>
          <w:rFonts w:ascii="Trebuchet MS" w:cs="Trebuchet MS" w:hAnsi="Trebuchet MS" w:eastAsia="Trebuchet MS"/>
          <w:color w:val="ff2600"/>
          <w:sz w:val="26"/>
          <w:szCs w:val="26"/>
          <w:shd w:val="clear" w:color="auto" w:fill="ffffff"/>
          <w:rtl w:val="0"/>
        </w:rPr>
      </w:pPr>
      <w:r>
        <w:rPr>
          <w:rFonts w:ascii="Trebuchet MS" w:cs="Trebuchet MS" w:hAnsi="Trebuchet MS" w:eastAsia="Trebuchet MS"/>
          <w:color w:val="ff2600"/>
          <w:sz w:val="26"/>
          <w:szCs w:val="26"/>
          <w:shd w:val="clear" w:color="auto" w:fill="ffffff"/>
          <w:rtl w:val="0"/>
          <w:lang w:val="en-US"/>
        </w:rPr>
        <w:tab/>
        <w:t>4</w:t>
        <w:tab/>
        <w:t>Assessment (a concrete, measurable way to assess the objective)</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Each mini-lesson should be a piece of the larger whole, not individual or unconnected lessons. That is, lessons later in the week should build on lessons from earlier in the week, and they should all reinforce and integrate skills from the prior lessons in the weekly sequence.</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ed220b"/>
          <w:sz w:val="26"/>
          <w:szCs w:val="26"/>
          <w:shd w:val="clear" w:color="auto" w:fill="ffffff"/>
          <w:rtl w:val="0"/>
        </w:rPr>
      </w:pPr>
      <w:r>
        <w:rPr>
          <w:rFonts w:ascii="Trebuchet MS" w:hAnsi="Trebuchet MS"/>
          <w:color w:val="ed220b"/>
          <w:sz w:val="26"/>
          <w:szCs w:val="26"/>
          <w:shd w:val="clear" w:color="auto" w:fill="ffffff"/>
          <w:rtl w:val="0"/>
          <w:lang w:val="en-US"/>
        </w:rPr>
        <w:t>Write a 1,500-1,750-word reflection that includes the following:</w:t>
      </w:r>
    </w:p>
    <w:p>
      <w:pPr>
        <w:pStyle w:val="Default"/>
        <w:tabs>
          <w:tab w:val="left" w:pos="220"/>
          <w:tab w:val="left" w:pos="720"/>
        </w:tabs>
        <w:bidi w:val="0"/>
        <w:ind w:left="720" w:right="0" w:hanging="720"/>
        <w:jc w:val="left"/>
        <w:rPr>
          <w:rFonts w:ascii="Trebuchet MS" w:cs="Trebuchet MS" w:hAnsi="Trebuchet MS" w:eastAsia="Trebuchet MS"/>
          <w:color w:val="ed220b"/>
          <w:sz w:val="26"/>
          <w:szCs w:val="26"/>
          <w:shd w:val="clear" w:color="auto" w:fill="ffffff"/>
          <w:rtl w:val="0"/>
        </w:rPr>
      </w:pPr>
      <w:r>
        <w:rPr>
          <w:rFonts w:ascii="Trebuchet MS" w:cs="Trebuchet MS" w:hAnsi="Trebuchet MS" w:eastAsia="Trebuchet MS"/>
          <w:color w:val="ed220b"/>
          <w:sz w:val="26"/>
          <w:szCs w:val="26"/>
          <w:shd w:val="clear" w:color="auto" w:fill="ffffff"/>
          <w:rtl w:val="0"/>
          <w:lang w:val="en-US"/>
        </w:rPr>
        <w:tab/>
        <w:t>1</w:t>
        <w:tab/>
        <w:t>A synopsis of your observations in the reading classrooms, and how they influenced your Language Arts Unit Plan.</w:t>
      </w:r>
    </w:p>
    <w:p>
      <w:pPr>
        <w:pStyle w:val="Default"/>
        <w:tabs>
          <w:tab w:val="left" w:pos="220"/>
          <w:tab w:val="left" w:pos="720"/>
        </w:tabs>
        <w:bidi w:val="0"/>
        <w:ind w:left="720" w:right="0" w:hanging="720"/>
        <w:jc w:val="left"/>
        <w:rPr>
          <w:rFonts w:ascii="Trebuchet MS" w:cs="Trebuchet MS" w:hAnsi="Trebuchet MS" w:eastAsia="Trebuchet MS"/>
          <w:color w:val="ed220b"/>
          <w:sz w:val="26"/>
          <w:szCs w:val="26"/>
          <w:shd w:val="clear" w:color="auto" w:fill="ffffff"/>
          <w:rtl w:val="0"/>
        </w:rPr>
      </w:pPr>
      <w:r>
        <w:rPr>
          <w:rFonts w:ascii="Trebuchet MS" w:cs="Trebuchet MS" w:hAnsi="Trebuchet MS" w:eastAsia="Trebuchet MS"/>
          <w:color w:val="ed220b"/>
          <w:sz w:val="26"/>
          <w:szCs w:val="26"/>
          <w:shd w:val="clear" w:color="auto" w:fill="ffffff"/>
          <w:rtl w:val="0"/>
          <w:lang w:val="en-US"/>
        </w:rPr>
        <w:tab/>
        <w:t>2</w:t>
        <w:tab/>
        <w:t>A reflection on the language arts unit plan after you taught it. What were its strengths and weaknesses? What would you change and why? What did you learn about teaching from your mentor teacher? Include this reflection with your unit plan.</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APA format is not required, but solid academic writing</w:t>
      </w:r>
      <w:r>
        <w:rPr>
          <w:rFonts w:ascii="Trebuchet MS" w:hAnsi="Trebuchet MS" w:hint="default"/>
          <w:color w:val="545454"/>
          <w:sz w:val="26"/>
          <w:szCs w:val="26"/>
          <w:shd w:val="clear" w:color="auto" w:fill="ffffff"/>
          <w:rtl w:val="0"/>
        </w:rPr>
        <w:t> </w:t>
      </w:r>
      <w:r>
        <w:rPr>
          <w:rFonts w:ascii="Trebuchet MS" w:hAnsi="Trebuchet MS"/>
          <w:color w:val="545454"/>
          <w:sz w:val="26"/>
          <w:szCs w:val="26"/>
          <w:shd w:val="clear" w:color="auto" w:fill="ffffff"/>
          <w:rtl w:val="0"/>
          <w:lang w:val="en-US"/>
        </w:rPr>
        <w:t>is expected.</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This assignment uses a rubric. Review the rubric prior to beginning the assignment to become familiar with the expectations for completion.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You are required to submit it to Turnitin.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b w:val="1"/>
          <w:bCs w:val="1"/>
          <w:color w:val="ff2600"/>
          <w:sz w:val="58"/>
          <w:szCs w:val="58"/>
          <w:shd w:val="clear" w:color="auto" w:fill="ffffff"/>
          <w:rtl w:val="0"/>
        </w:rPr>
      </w:pPr>
      <w:r>
        <w:rPr>
          <w:rFonts w:ascii="Trebuchet MS" w:hAnsi="Trebuchet MS"/>
          <w:b w:val="1"/>
          <w:bCs w:val="1"/>
          <w:color w:val="ff2600"/>
          <w:sz w:val="58"/>
          <w:szCs w:val="58"/>
          <w:shd w:val="clear" w:color="auto" w:fill="ffffff"/>
          <w:rtl w:val="0"/>
          <w:lang w:val="en-US"/>
        </w:rPr>
        <w:t xml:space="preserve">In completion there should be 5 mini lesson plans and the essay. </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 xml:space="preserve">Rubric </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71"/>
        <w:gridCol w:w="1351"/>
        <w:gridCol w:w="1352"/>
        <w:gridCol w:w="1476"/>
        <w:gridCol w:w="1351"/>
        <w:gridCol w:w="2059"/>
      </w:tblGrid>
      <w:tr>
        <w:tblPrEx>
          <w:shd w:val="clear" w:color="auto" w:fill="auto"/>
        </w:tblPrEx>
        <w:trPr>
          <w:trHeight w:val="1411" w:hRule="atLeast"/>
        </w:trPr>
        <w:tc>
          <w:tcPr>
            <w:tcW w:type="dxa" w:w="1771"/>
            <w:tcBorders>
              <w:top w:val="single" w:color="000000" w:sz="2" w:space="0" w:shadow="0" w:frame="0"/>
              <w:left w:val="single" w:color="000000" w:sz="2" w:space="0" w:shadow="0" w:frame="0"/>
              <w:bottom w:val="single" w:color="9ac5da" w:sz="6" w:space="0" w:shadow="0" w:frame="0"/>
              <w:right w:val="single" w:color="000000" w:sz="2" w:space="0" w:shadow="0" w:frame="0"/>
            </w:tcBorders>
            <w:shd w:val="clear" w:color="auto" w:fill="auto"/>
            <w:tcMar>
              <w:top w:type="dxa" w:w="80"/>
              <w:left w:type="dxa" w:w="0"/>
              <w:bottom w:type="dxa" w:w="80"/>
              <w:right w:type="dxa" w:w="0"/>
            </w:tcMar>
            <w:vAlign w:val="center"/>
          </w:tcPr>
          <w:p/>
        </w:tc>
        <w:tc>
          <w:tcPr>
            <w:tcW w:type="dxa" w:w="1351"/>
            <w:tcBorders>
              <w:top w:val="single" w:color="000000" w:sz="2" w:space="0" w:shadow="0" w:frame="0"/>
              <w:left w:val="single" w:color="000000" w:sz="2" w:space="0" w:shadow="0" w:frame="0"/>
              <w:bottom w:val="single" w:color="9ac5da" w:sz="6"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Unsatisfactory</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0.00%</w:t>
            </w:r>
          </w:p>
        </w:tc>
        <w:tc>
          <w:tcPr>
            <w:tcW w:type="dxa" w:w="135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2</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Less than Satisfactory</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65.00%</w:t>
            </w:r>
          </w:p>
        </w:tc>
        <w:tc>
          <w:tcPr>
            <w:tcW w:type="dxa" w:w="147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3</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Satisfactory</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75.00%</w:t>
            </w:r>
          </w:p>
        </w:tc>
        <w:tc>
          <w:tcPr>
            <w:tcW w:type="dxa" w:w="135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4</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Good</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85.00%</w:t>
            </w:r>
          </w:p>
        </w:tc>
        <w:tc>
          <w:tcPr>
            <w:tcW w:type="dxa" w:w="20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5</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Excellent</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100.00%</w:t>
            </w:r>
          </w:p>
        </w:tc>
      </w:tr>
      <w:tr>
        <w:tblPrEx>
          <w:shd w:val="clear" w:color="auto" w:fill="auto"/>
        </w:tblPrEx>
        <w:trPr>
          <w:trHeight w:val="113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Addressing ACEI Standards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953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Development, Learning, and Motivation 1.0</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know, understand, or use the major concepts, principles, theories, and research related to development of children and young adolescents to construct learning opportunities that support individual students? development, acquisition of knowledge, and motivation.</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know and understand some of the concepts, principles, theories, and research related to development of children and young adolescents to construct learning opportunities that support individual students? development, acquisition of knowledge, and motivation but rarely use them effectively.</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know, understand, and effectively use the major concepts, principles, theories, and research related to development of children and young adolescents to construct learning opportunities that support individual students? development, acquisition of knowledge, and motivation.</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know, understand, and carefully use the major concepts, principles, theories, and research related to development of children and young adolescents to construct learning opportunities that support individual students? development, acquisition of knowledge, and motivation.</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know, understand, and methodically use the major concepts, principles, theories, and research related to development of children and young adolescents to construct learning opportunities that support individual students? development, acquisition of knowledge, and motivation.</w:t>
            </w:r>
          </w:p>
        </w:tc>
      </w:tr>
      <w:tr>
        <w:tblPrEx>
          <w:shd w:val="clear" w:color="auto" w:fill="auto"/>
        </w:tblPrEx>
        <w:trPr>
          <w:trHeight w:val="113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Addressing ACEI Standards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1149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3.0 %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Reading, Writing, and Oral Language 2.1</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demonstrate competence in use of English language arts, nor do they know, understand, or use concepts from reading, language and child development, to teach reading, writing, speaking, viewing, listening, and thinking skills and to help students successfully apply their developing skills to many different situations, materials, and ideas.</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demonstrate a limited level of competence in use of English language arts and they know, understand, and use few concepts from reading, language and child development, to teach reading, writing, speaking, viewing, listening, and thinking skills and to help students successfully apply their developing skills to many different situations, materials, and ideas.</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demonstrate an adequate level of competence in use of English language arts and they know, understand, and use concepts from reading, language and child development, to teach reading, writing, speaking, viewing, listening, and thinking skills and to help students successfully apply their developing skills to many different situations, materials, and ideas.</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demonstrate a high level of competence in use of English language arts and they know, understand, and use concepts from reading, language and child development, to teach reading, writing, speaking, viewing, listening, and thinking skills and to help students successfully apply their developing skills to many different situations, materials, and ideas.</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demonstrate a comprehensive level of competence in use of English language arts and they know, understand, and use concepts from reading, language and child development, to teach reading, writing, speaking, viewing, listening, and thinking skills and to help students successfully apply their developing skills to many different situations, materials, and ideas.</w:t>
            </w:r>
          </w:p>
        </w:tc>
      </w:tr>
      <w:tr>
        <w:tblPrEx>
          <w:shd w:val="clear" w:color="auto" w:fill="auto"/>
        </w:tblPrEx>
        <w:trPr>
          <w:trHeight w:val="113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Addressing ACEI Standards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505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Integrating and Applying Knowledge for Instruction 3.1 InTASC 4(a), 4(n), 5(a), 5(m) COE 1.5</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plan or implement instruction based on knowledge of students, learning theory, connections across the curriculum, curricular goals, or community.</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rarely plan or implement instruction based on knowledge of students, learning theory, connections across the curriculum, curricular goals, and community.</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plan and implement instruction based on knowledge of students, learning theory, connections across the curriculum, curricular goals, and community.</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skillfully plan and implement instruction based on knowledge of students, learning theory, connections across the curriculum, curricular goals, and community.</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methodically plan and implement instruction based on knowledge of students, learning theory, connections across the curriculum, curricular goals, and community.</w:t>
            </w:r>
          </w:p>
        </w:tc>
      </w:tr>
      <w:tr>
        <w:tblPrEx>
          <w:shd w:val="clear" w:color="auto" w:fill="auto"/>
        </w:tblPrEx>
        <w:trPr>
          <w:trHeight w:val="113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Addressing ACEI Standards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645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Adaptation to Diverse Students 3.2</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understand how elementary students differ in their development and approaches to learning, nor do they create instructional opportunities that are adapted to diverse students.</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completely understand how elementary students differ in their development and approaches to learning, and rarely create instructional opportunities that are adapted to diverse students.</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understand how elementary students differ in their development and approaches to learning, and create instructional opportunities that are adapted to diverse students.</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understand how elementary students differ in their development and approaches to learning, and skillfully create instructional opportunities that are adapted to diverse students.</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understand how elementary students differ in their development and approaches to learning, and methodically create instructional opportunities that are adapted to diverse students.</w:t>
            </w:r>
          </w:p>
        </w:tc>
      </w:tr>
      <w:tr>
        <w:tblPrEx>
          <w:shd w:val="clear" w:color="auto" w:fill="auto"/>
        </w:tblPrEx>
        <w:trPr>
          <w:trHeight w:val="113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Addressing ACEI Standards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533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Development of Critical Thinking and Problem Solving 3.3</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understand or use a variety of teaching strategies that encourage elementary students? development of critical thinking or problem solving.</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understand but rarely use a variety of teaching strategies that encourage elementary students? development of critical thinking and problem solving.</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understand and use a variety of teaching strategies that encourage elementary students? development of critical thinking and problem solving.</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understand and efficiently use a variety of teaching strategies that encourage elementary students? development of critical thinking and problem solving.</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understand and meticulously use a variety of teaching strategies that encourage elementary students? development of critical thinking and problem solving.</w:t>
            </w:r>
          </w:p>
        </w:tc>
      </w:tr>
      <w:tr>
        <w:tblPrEx>
          <w:shd w:val="clear" w:color="auto" w:fill="auto"/>
        </w:tblPrEx>
        <w:trPr>
          <w:trHeight w:val="113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Addressing ACEI Standards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757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Assessment for Instruction 4.0 InTASC 6(b), 7(f) COE 2.2</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know, understand, or use formal and informal assessments strategies to plan, evaluate or strengthen instruction that will promote continuous intellectual, social, emotional, and physical development of elementary student.</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do not know, understand, or use formal and informal assessments strategies to plan, evaluate or strengthen instruction that will promote continuous intellectual, social, emotional, and physical development of elementary student.</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know, understand, and use formal and informal assessments strategies to plan, evaluate and strengthen instruction that will promote continuous intellectual, social, emotional, and physical development of elementary student.</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know, understand, and effectively use formal and informal assessments strategies to plan, evaluate and strengthen instruction that will promote continuous intellectual, social, emotional, and physical development of elementary student.</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know, understand, and strategically use formal and informal assessments strategies to plan, evaluate and strengthen instruction that will promote continuous intellectual, social, emotional, and physical development of elementary student.</w:t>
            </w:r>
          </w:p>
        </w:tc>
      </w:tr>
      <w:tr>
        <w:tblPrEx>
          <w:shd w:val="clear" w:color="auto" w:fill="auto"/>
        </w:tblPrEx>
        <w:trPr>
          <w:trHeight w:val="113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Addressing ACEI Standards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1149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Professional Growth, Reflection, and Evaluation 5.1 InTASC 9(a), 9(b) COE 5.1</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are not aware of and do not reflect on their practice in light of research on teaching, professional ethics, and resources available for professional learning; they do not evaluate the effects of their professional decisions and actions on students, families and other professionals in the learning community or actively seek out opportunities to grow professionally.</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are rarely aware of and scarcely reflect on their practice in light of research on teaching, professional ethics, and resources available for professional learning; they seldom evaluate the effects of their professional decisions and actions on students, families and other professionals in the learning community and do not seek out opportunities to grow professionally.</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are aware of and reflect on their practice in light of research on teaching, professional ethics, and resources available for professional learning; they occasionally evaluate the effects of their professional decisions and actions on students, families and other professionals in the learning community and seek out opportunities to grow professionally.</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are aware of and reflect on their practice in light of research on teaching, professional ethics, and resources available for professional learning; they typically evaluate the effects of their professional decisions and actions on students, families and other professionals in the learning community and seek out opportunities to grow professionally.</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Candidates are aware of and reflect on their practice in light of research on teaching, professional ethics, and resources available for professional learning; they continually evaluate the effects of their professional decisions and actions on students, families and other professionals in the learning community and actively seek out opportunities to grow professionally.</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70.0 %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Mini-lessons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673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Oral Language and Vocabulary</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oral language and vocabulary lesson plan is missing many of the required components. Attention to prior knowledge and essential vocabulary is weak or missing.</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oral language and vocabulary lesson plan consists of most of the required components. Attention to prior knowledge and essential vocabulary is minimal or underdeveloped.</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oral language and vocabulary lesson plan consists of all the required components. The lesson activates prior knowledge and teaches essential vocabulary that enhances comprehension.</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Prior knowledge is surveyed and built to support new learning. Essential vocabulary is thoughtfully developed and meaningfully connected to prior knowledge.</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Exceptionally organized activities that create depth of understanding through connecting old knowledge with new knowledge and predictions.</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70.0 %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Mini-lessons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1121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Phonics, Word Patterns, and Word Analysis</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phonics, word patterns, and word analysis lesson plan is missing many of the required components. Attention to phonics, word patterns, and word analysis is weak, missing, or incomplete. Skills and activities are not grade appropriate.</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phonics, word patterns, and word analysis lesson plan consists of most of the required components. Attention to phonics, word patterns, and word analysis is minimal or underdeveloped. Skills and activities are mostly grade appropriate.</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phonics, word patterns, and word analysis lesson plan consists of all the required components. The phonics, word patterns, and word analysis activities are grade appropriate and teach students to actively analyze word parts in an effort to generalize to new words and to aid in fluency and comprehension. The phonics and word patterns come directly from the text piece.</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The phonics, word patterns, and word analysis skills and activities are thoughtfully developed and meaningfully connected to new words and patterns.</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Exceptionally organized activities that create multiple and meaningful opportunities to learn new word patterns that are high utility. There is a strategic balance between word parts and whole text applications.</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70.0 %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Mini-lessons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729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Fluency</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fluency lesson plan is missing many of the required components. The fluency activities are missing, weak, or incomplete. Skills and activities are not grade appropriate.</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fluency lesson plan consists of most of the required components. Attention to fluency is minimal, underdeveloped, or inappropriate for teaching fluency. Skills and activities are mostly grade appropriate.</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fluency lesson plan consists of all the required components. The fluency activities develop ways to build speed and accuracy with text. Activities are appropriate for grade level and encourage participation.</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The fluency skills and activities are thoughtfully developed and provide meaningful practice with familiar text. The fluency activities are fun, interactive, and creative.</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components are addressed. Exceptionally organized activities that create multiple and meaningful opportunities to practice reading text with smoothness, accuracy, speed, and prosody. Activities are engaging and focus on fluent processing of whole text.</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70.0 %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Mini-lessons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1009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12.0 %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Reading Comprehension</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reading comprehension lesson plan is missing many of the required components. Attention to reading comprehension is weak, missing, or incomplete. Skills and activities are not grade appropriate.</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reading comprehension lesson plan consists of most of the required components. Attention to reading comprehension is minimal or underdeveloped. Minimal or no attention is given to quality ?before, during, and after? reading activities to develop comprehension. Skills and activities are mostly grade appropriate.</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reading comprehension lesson plan consists of all the required components. The reading comprehension activities address ?before, during, and after? reading stages. The learning activities are high quality and strategically selected.</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The reading comprehension activities are thoughtfully developed and focus on building understanding of text and extending learning beyond the text.</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Exceptionally organized activities that create multiple and meaningful opportunities to create and extend learning of the text. There is a variety of useful strategies in activity selection. The specific comprehension strategies teach student independence.</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70.0 %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Mini-lessons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841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11.0 %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Writing</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writing lesson plan is missing many of the required components. Attention to writing is weak, missing, or incomplete. Skills and activities are not grade appropriate.</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writing lesson plan consists of most of the required components. Attention to writing is minimal or underdeveloped. Minimal or no attention is given to incorporating the skills and objectives from days 1-4 in the Unit. Skills and activities are mostly grade appropriate.</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writing lesson plan consists of all the required components. The writing activities incorporate the skills and objectives from the days 1-4 in the Unit. The lesson is based on the academic writing standards in language arts.</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The writing activities are thoughtfully developed and focus on meaningfully synthesizing and reinforcing the skills from earlier in the Unit.</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All lesson plan components are addressed. Exceptionally organized activities that create multiple and meaningful opportunities to use writing as a tool to create and extend learning of the text. There is a variety of response choices in activity selection.</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70.0 %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Mini-lessons</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757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11.0 %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Unit Cohesiveness and Scaffolding InTASC 3(d), 3(j) COE 3.3</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There is weak or no attention to thoughtful organization of the overall scope and sequence of the lessons in the Unit. Lessons seem random and do not scaffold.</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There is minimal/ some attempt to organize the overall scope and sequence of the lessons in the Unit, but it is incomplete or underdeveloped. An attempt is made to scaffold lessons but the skill development is not clear or well thought-out.</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5-day Unit Plan flows smoothly as a holistic unit. The lessons build on and reinforce each other. There is a fluid and logical sequence of lesson development throughout the week.</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Unit has a solid structure of interrelatedness of lessons that weave previous skills into the new activities so that learning is meaningful and seamless.</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There is exceptional cohesiveness and scaffolding throughout the entire Unit. All lessons build on and reinforce earlier lessons while directly teaching the core skills and objectives of the 5 days.</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Reflection</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6177" w:hRule="atLeast"/>
        </w:trPr>
        <w:tc>
          <w:tcPr>
            <w:tcW w:type="dxa" w:w="177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it-IT"/>
              </w:rPr>
              <w:t>Content</w:t>
            </w:r>
          </w:p>
        </w:tc>
        <w:tc>
          <w:tcPr>
            <w:tcW w:type="dxa" w:w="1351"/>
            <w:tcBorders>
              <w:top w:val="single" w:color="9ac5da" w:sz="6" w:space="0" w:shadow="0" w:frame="0"/>
              <w:left w:val="single" w:color="d0d0d0" w:sz="6" w:space="0" w:shadow="0" w:frame="0"/>
              <w:bottom w:val="single" w:color="9ac5da"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 reflection is submitted with the Unit Plan.</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is cursory at best; mentor teacher observations are alluded to; some Unit Plan analysis is present but lacks detail; limited indication of influence of mentor teachers on lesson plans.</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Reflection includes observation synopses and mentor teacher influences on mini-lesson plans; analyzes Unit Plan?s strengths/weaknesses, change requirements, learning experiences.</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Unit Plan?s analysis is organized and focuses in its component parts.</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Rigorous analysis of Unit Plan.</w:t>
            </w:r>
          </w:p>
        </w:tc>
      </w:tr>
      <w:tr>
        <w:tblPrEx>
          <w:shd w:val="clear" w:color="auto" w:fill="auto"/>
        </w:tblPrEx>
        <w:trPr>
          <w:trHeight w:val="577" w:hRule="atLeast"/>
        </w:trPr>
        <w:tc>
          <w:tcPr>
            <w:tcW w:type="dxa" w:w="1771"/>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Organization</w:t>
            </w:r>
          </w:p>
        </w:tc>
        <w:tc>
          <w:tcPr>
            <w:tcW w:type="dxa" w:w="7588"/>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2817" w:hRule="atLeast"/>
        </w:trPr>
        <w:tc>
          <w:tcPr>
            <w:tcW w:type="dxa" w:w="1771"/>
            <w:tcBorders>
              <w:top w:val="single" w:color="9ac5da"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Mechanics of Writing (includes spelling, punctuation, grammar)</w:t>
            </w:r>
          </w:p>
        </w:tc>
        <w:tc>
          <w:tcPr>
            <w:tcW w:type="dxa" w:w="1351"/>
            <w:tcBorders>
              <w:top w:val="single" w:color="9ac5da"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Surface errors are pervasive enough that they impede communication of meaning.</w:t>
            </w:r>
          </w:p>
        </w:tc>
        <w:tc>
          <w:tcPr>
            <w:tcW w:type="dxa" w:w="1352"/>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Frequent and repetitive mechanical errors distract the reader.</w:t>
            </w:r>
          </w:p>
        </w:tc>
        <w:tc>
          <w:tcPr>
            <w:tcW w:type="dxa" w:w="1475"/>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Some mechanical errors or typos are present, but are not overly distracting to the reader.</w:t>
            </w:r>
          </w:p>
        </w:tc>
        <w:tc>
          <w:tcPr>
            <w:tcW w:type="dxa" w:w="1351"/>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Prose is largely free of mechanical errors, although a few may be present.</w:t>
            </w:r>
          </w:p>
        </w:tc>
        <w:tc>
          <w:tcPr>
            <w:tcW w:type="dxa" w:w="2058"/>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Writer is clearly in control of standard, written American English.</w:t>
            </w:r>
          </w:p>
        </w:tc>
      </w:tr>
      <w:tr>
        <w:tblPrEx>
          <w:shd w:val="clear" w:color="auto" w:fill="auto"/>
        </w:tblPrEx>
        <w:trPr>
          <w:trHeight w:val="851" w:hRule="atLeast"/>
        </w:trPr>
        <w:tc>
          <w:tcPr>
            <w:tcW w:type="dxa" w:w="1771"/>
            <w:tcBorders>
              <w:top w:val="single" w:color="d0d0d0" w:sz="6"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Total Weightage</w:t>
            </w:r>
          </w:p>
        </w:tc>
        <w:tc>
          <w:tcPr>
            <w:tcW w:type="dxa" w:w="7588"/>
            <w:gridSpan w:val="5"/>
            <w:tcBorders>
              <w:top w:val="single" w:color="d0d0d0" w:sz="6"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0"/>
              <w:left w:type="dxa" w:w="0"/>
              <w:bottom w:type="dxa" w:w="0"/>
              <w:right w:type="dxa" w:w="0"/>
            </w:tcMar>
            <w:vAlign w:val="top"/>
          </w:tcPr>
          <w:p/>
        </w:tc>
      </w:tr>
    </w:tbl>
    <w:p>
      <w:pPr>
        <w:pStyle w:val="Default"/>
        <w:bidi w:val="0"/>
        <w:ind w:left="0" w:right="0" w:firstLine="0"/>
        <w:jc w:val="left"/>
        <w:rPr>
          <w:rFonts w:ascii="Trebuchet MS" w:cs="Trebuchet MS" w:hAnsi="Trebuchet MS" w:eastAsia="Trebuchet MS"/>
          <w:color w:val="545454"/>
          <w:sz w:val="24"/>
          <w:szCs w:val="24"/>
          <w:shd w:val="clear" w:color="auto" w:fill="ffffff"/>
          <w:rtl w:val="0"/>
        </w:rPr>
      </w:pP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tl w:val="0"/>
        </w:rPr>
      </w:pPr>
      <w:r>
        <w:rPr>
          <w:rFonts w:ascii="Trebuchet MS" w:hAnsi="Trebuchet MS"/>
          <w:color w:val="545454"/>
          <w:sz w:val="26"/>
          <w:szCs w:val="26"/>
          <w:shd w:val="clear" w:color="auto" w:fill="ffffff"/>
          <w:rtl w:val="0"/>
          <w:lang w:val="en-US"/>
        </w:rPr>
        <w:t>Submit the Clinical Field Experience Verification Form with the last assignment by the assignment due date. Directions for submitting can be found on the College of Education site in the Student Success Center.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