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291" w:rsidRPr="00934291" w:rsidRDefault="00934291" w:rsidP="00934291">
      <w:pPr>
        <w:spacing w:line="480" w:lineRule="auto"/>
        <w:ind w:firstLine="720"/>
        <w:jc w:val="both"/>
        <w:rPr>
          <w:rFonts w:ascii="Times New Roman" w:hAnsi="Times New Roman" w:cs="Times New Roman"/>
          <w:sz w:val="24"/>
          <w:szCs w:val="24"/>
        </w:rPr>
      </w:pPr>
      <w:bookmarkStart w:id="0" w:name="_GoBack"/>
      <w:bookmarkEnd w:id="0"/>
    </w:p>
    <w:p w:rsidR="00934291" w:rsidRPr="00934291" w:rsidRDefault="00934291" w:rsidP="00934291">
      <w:pPr>
        <w:spacing w:line="480" w:lineRule="auto"/>
        <w:ind w:firstLine="720"/>
        <w:jc w:val="both"/>
        <w:rPr>
          <w:rFonts w:ascii="Times New Roman" w:hAnsi="Times New Roman" w:cs="Times New Roman"/>
          <w:sz w:val="24"/>
          <w:szCs w:val="24"/>
        </w:rPr>
      </w:pPr>
    </w:p>
    <w:p w:rsidR="00934291" w:rsidRPr="00934291" w:rsidRDefault="00934291" w:rsidP="00934291">
      <w:pPr>
        <w:spacing w:line="480" w:lineRule="auto"/>
        <w:ind w:firstLine="720"/>
        <w:jc w:val="both"/>
        <w:rPr>
          <w:rFonts w:ascii="Times New Roman" w:hAnsi="Times New Roman" w:cs="Times New Roman"/>
          <w:sz w:val="24"/>
          <w:szCs w:val="24"/>
        </w:rPr>
      </w:pPr>
    </w:p>
    <w:p w:rsidR="00934291" w:rsidRPr="00934291" w:rsidRDefault="00934291" w:rsidP="00934291">
      <w:pPr>
        <w:spacing w:line="480" w:lineRule="auto"/>
        <w:ind w:firstLine="720"/>
        <w:jc w:val="both"/>
        <w:rPr>
          <w:rFonts w:ascii="Times New Roman" w:hAnsi="Times New Roman" w:cs="Times New Roman"/>
          <w:sz w:val="24"/>
          <w:szCs w:val="24"/>
        </w:rPr>
      </w:pPr>
    </w:p>
    <w:p w:rsidR="00934291" w:rsidRPr="00934291" w:rsidRDefault="00934291" w:rsidP="00A917B6">
      <w:pPr>
        <w:spacing w:line="480" w:lineRule="auto"/>
        <w:ind w:firstLine="720"/>
        <w:jc w:val="center"/>
        <w:rPr>
          <w:rFonts w:ascii="Times New Roman" w:hAnsi="Times New Roman" w:cs="Times New Roman"/>
          <w:sz w:val="24"/>
          <w:szCs w:val="24"/>
        </w:rPr>
      </w:pPr>
    </w:p>
    <w:p w:rsidR="00934291" w:rsidRPr="00934291" w:rsidRDefault="007D15BE" w:rsidP="00A917B6">
      <w:pPr>
        <w:spacing w:line="480" w:lineRule="auto"/>
        <w:ind w:firstLine="720"/>
        <w:jc w:val="center"/>
        <w:rPr>
          <w:rFonts w:ascii="Times New Roman" w:hAnsi="Times New Roman" w:cs="Times New Roman"/>
          <w:sz w:val="24"/>
          <w:szCs w:val="24"/>
        </w:rPr>
      </w:pPr>
      <w:r w:rsidRPr="00934291">
        <w:rPr>
          <w:rFonts w:ascii="Times New Roman" w:hAnsi="Times New Roman" w:cs="Times New Roman"/>
          <w:sz w:val="24"/>
          <w:szCs w:val="24"/>
        </w:rPr>
        <w:t xml:space="preserve">Exchange </w:t>
      </w:r>
      <w:r w:rsidR="00257776">
        <w:rPr>
          <w:rFonts w:ascii="Times New Roman" w:hAnsi="Times New Roman" w:cs="Times New Roman"/>
          <w:sz w:val="24"/>
          <w:szCs w:val="24"/>
        </w:rPr>
        <w:t xml:space="preserve">rates </w:t>
      </w:r>
    </w:p>
    <w:p w:rsidR="00934291" w:rsidRPr="00934291" w:rsidRDefault="00934291" w:rsidP="00A917B6">
      <w:pPr>
        <w:spacing w:line="480" w:lineRule="auto"/>
        <w:ind w:firstLine="720"/>
        <w:jc w:val="center"/>
        <w:rPr>
          <w:rFonts w:ascii="Times New Roman" w:hAnsi="Times New Roman" w:cs="Times New Roman"/>
          <w:sz w:val="24"/>
          <w:szCs w:val="24"/>
        </w:rPr>
      </w:pPr>
      <w:r w:rsidRPr="00934291">
        <w:rPr>
          <w:rFonts w:ascii="Times New Roman" w:hAnsi="Times New Roman" w:cs="Times New Roman"/>
          <w:sz w:val="24"/>
          <w:szCs w:val="24"/>
        </w:rPr>
        <w:t>Name</w:t>
      </w:r>
    </w:p>
    <w:p w:rsidR="00934291" w:rsidRPr="00934291" w:rsidRDefault="00934291" w:rsidP="00A917B6">
      <w:pPr>
        <w:spacing w:line="480" w:lineRule="auto"/>
        <w:ind w:firstLine="720"/>
        <w:jc w:val="center"/>
        <w:rPr>
          <w:rFonts w:ascii="Times New Roman" w:hAnsi="Times New Roman" w:cs="Times New Roman"/>
          <w:sz w:val="24"/>
          <w:szCs w:val="24"/>
        </w:rPr>
      </w:pPr>
      <w:r w:rsidRPr="00934291">
        <w:rPr>
          <w:rFonts w:ascii="Times New Roman" w:hAnsi="Times New Roman" w:cs="Times New Roman"/>
          <w:sz w:val="24"/>
          <w:szCs w:val="24"/>
        </w:rPr>
        <w:t>Institutional affiliation</w:t>
      </w:r>
    </w:p>
    <w:p w:rsidR="00934291" w:rsidRPr="00934291" w:rsidRDefault="00934291" w:rsidP="00A917B6">
      <w:pPr>
        <w:spacing w:line="480" w:lineRule="auto"/>
        <w:ind w:firstLine="720"/>
        <w:jc w:val="center"/>
        <w:rPr>
          <w:rFonts w:ascii="Times New Roman" w:hAnsi="Times New Roman" w:cs="Times New Roman"/>
          <w:sz w:val="24"/>
          <w:szCs w:val="24"/>
        </w:rPr>
      </w:pPr>
      <w:r w:rsidRPr="00934291">
        <w:rPr>
          <w:rFonts w:ascii="Times New Roman" w:hAnsi="Times New Roman" w:cs="Times New Roman"/>
          <w:sz w:val="24"/>
          <w:szCs w:val="24"/>
        </w:rPr>
        <w:t>Date</w:t>
      </w:r>
    </w:p>
    <w:p w:rsidR="00934291" w:rsidRPr="00934291" w:rsidRDefault="00934291" w:rsidP="00934291">
      <w:pPr>
        <w:spacing w:line="480" w:lineRule="auto"/>
        <w:ind w:firstLine="720"/>
        <w:jc w:val="both"/>
        <w:rPr>
          <w:rFonts w:ascii="Times New Roman" w:hAnsi="Times New Roman" w:cs="Times New Roman"/>
          <w:sz w:val="24"/>
          <w:szCs w:val="24"/>
        </w:rPr>
      </w:pPr>
    </w:p>
    <w:p w:rsidR="00934291" w:rsidRPr="00934291" w:rsidRDefault="00934291" w:rsidP="00934291">
      <w:pPr>
        <w:spacing w:line="480" w:lineRule="auto"/>
        <w:ind w:firstLine="720"/>
        <w:jc w:val="both"/>
        <w:rPr>
          <w:rFonts w:ascii="Times New Roman" w:hAnsi="Times New Roman" w:cs="Times New Roman"/>
          <w:sz w:val="24"/>
          <w:szCs w:val="24"/>
        </w:rPr>
      </w:pPr>
    </w:p>
    <w:p w:rsidR="00934291" w:rsidRPr="00934291" w:rsidRDefault="00934291" w:rsidP="00934291">
      <w:pPr>
        <w:spacing w:line="480" w:lineRule="auto"/>
        <w:ind w:firstLine="720"/>
        <w:jc w:val="both"/>
        <w:rPr>
          <w:rFonts w:ascii="Times New Roman" w:hAnsi="Times New Roman" w:cs="Times New Roman"/>
          <w:sz w:val="24"/>
          <w:szCs w:val="24"/>
        </w:rPr>
      </w:pPr>
    </w:p>
    <w:p w:rsidR="00934291" w:rsidRPr="00934291" w:rsidRDefault="00934291" w:rsidP="00934291">
      <w:pPr>
        <w:spacing w:line="480" w:lineRule="auto"/>
        <w:ind w:firstLine="720"/>
        <w:jc w:val="both"/>
        <w:rPr>
          <w:rFonts w:ascii="Times New Roman" w:hAnsi="Times New Roman" w:cs="Times New Roman"/>
          <w:sz w:val="24"/>
          <w:szCs w:val="24"/>
        </w:rPr>
      </w:pPr>
    </w:p>
    <w:p w:rsidR="00934291" w:rsidRPr="00934291" w:rsidRDefault="00934291" w:rsidP="00934291">
      <w:pPr>
        <w:spacing w:line="480" w:lineRule="auto"/>
        <w:ind w:firstLine="720"/>
        <w:jc w:val="both"/>
        <w:rPr>
          <w:rFonts w:ascii="Times New Roman" w:hAnsi="Times New Roman" w:cs="Times New Roman"/>
          <w:sz w:val="24"/>
          <w:szCs w:val="24"/>
        </w:rPr>
      </w:pPr>
    </w:p>
    <w:p w:rsidR="00934291" w:rsidRPr="00934291" w:rsidRDefault="00934291" w:rsidP="00934291">
      <w:pPr>
        <w:spacing w:line="480" w:lineRule="auto"/>
        <w:ind w:firstLine="720"/>
        <w:jc w:val="both"/>
        <w:rPr>
          <w:rFonts w:ascii="Times New Roman" w:hAnsi="Times New Roman" w:cs="Times New Roman"/>
          <w:sz w:val="24"/>
          <w:szCs w:val="24"/>
        </w:rPr>
      </w:pPr>
    </w:p>
    <w:p w:rsidR="00934291" w:rsidRPr="00934291" w:rsidRDefault="00934291" w:rsidP="00934291">
      <w:pPr>
        <w:spacing w:line="480" w:lineRule="auto"/>
        <w:ind w:firstLine="720"/>
        <w:jc w:val="both"/>
        <w:rPr>
          <w:rFonts w:ascii="Times New Roman" w:hAnsi="Times New Roman" w:cs="Times New Roman"/>
          <w:sz w:val="24"/>
          <w:szCs w:val="24"/>
        </w:rPr>
      </w:pPr>
    </w:p>
    <w:p w:rsidR="00934291" w:rsidRPr="00934291" w:rsidRDefault="00934291" w:rsidP="00934291">
      <w:pPr>
        <w:spacing w:line="480" w:lineRule="auto"/>
        <w:ind w:firstLine="720"/>
        <w:jc w:val="both"/>
        <w:rPr>
          <w:rFonts w:ascii="Times New Roman" w:hAnsi="Times New Roman" w:cs="Times New Roman"/>
          <w:sz w:val="24"/>
          <w:szCs w:val="24"/>
        </w:rPr>
      </w:pPr>
    </w:p>
    <w:p w:rsidR="00934291" w:rsidRPr="00934291" w:rsidRDefault="00934291" w:rsidP="00A917B6">
      <w:pPr>
        <w:spacing w:line="480" w:lineRule="auto"/>
        <w:ind w:firstLine="720"/>
        <w:jc w:val="center"/>
        <w:rPr>
          <w:rFonts w:ascii="Times New Roman" w:hAnsi="Times New Roman" w:cs="Times New Roman"/>
          <w:sz w:val="24"/>
          <w:szCs w:val="24"/>
        </w:rPr>
      </w:pPr>
      <w:r w:rsidRPr="00A917B6">
        <w:rPr>
          <w:rFonts w:ascii="Times New Roman" w:hAnsi="Times New Roman" w:cs="Times New Roman"/>
          <w:b/>
          <w:sz w:val="24"/>
          <w:szCs w:val="24"/>
        </w:rPr>
        <w:lastRenderedPageBreak/>
        <w:t>Introduction</w:t>
      </w:r>
    </w:p>
    <w:p w:rsidR="00934291" w:rsidRPr="00934291" w:rsidRDefault="00934291" w:rsidP="00504136">
      <w:pPr>
        <w:spacing w:line="480" w:lineRule="auto"/>
        <w:ind w:firstLine="720"/>
        <w:jc w:val="both"/>
        <w:rPr>
          <w:rFonts w:ascii="Times New Roman" w:hAnsi="Times New Roman" w:cs="Times New Roman"/>
          <w:sz w:val="24"/>
          <w:szCs w:val="24"/>
        </w:rPr>
      </w:pPr>
      <w:r w:rsidRPr="00934291">
        <w:rPr>
          <w:rFonts w:ascii="Times New Roman" w:hAnsi="Times New Roman" w:cs="Times New Roman"/>
          <w:sz w:val="24"/>
          <w:szCs w:val="24"/>
        </w:rPr>
        <w:t>In exchange rate risk management most of the financial transactions are managed by both internal and external techniques. During a financial transaction, the risk of currency exchange is reduced by the exchange rate risk management by choosing certain exchange rates based on t</w:t>
      </w:r>
      <w:r w:rsidR="00A5325A">
        <w:rPr>
          <w:rFonts w:ascii="Times New Roman" w:hAnsi="Times New Roman" w:cs="Times New Roman"/>
          <w:sz w:val="24"/>
          <w:szCs w:val="24"/>
        </w:rPr>
        <w:t xml:space="preserve">he theories of foreign exchange. These include </w:t>
      </w:r>
      <w:r w:rsidRPr="00934291">
        <w:rPr>
          <w:rFonts w:ascii="Times New Roman" w:hAnsi="Times New Roman" w:cs="Times New Roman"/>
          <w:sz w:val="24"/>
          <w:szCs w:val="24"/>
        </w:rPr>
        <w:t xml:space="preserve">purchasing power parity (PPP) and </w:t>
      </w:r>
      <w:r w:rsidR="00A917B6">
        <w:rPr>
          <w:rFonts w:ascii="Times New Roman" w:hAnsi="Times New Roman" w:cs="Times New Roman"/>
          <w:sz w:val="24"/>
          <w:szCs w:val="24"/>
        </w:rPr>
        <w:t>interest rate parity (IRP).</w:t>
      </w:r>
      <w:r w:rsidRPr="00934291">
        <w:rPr>
          <w:rFonts w:ascii="Times New Roman" w:hAnsi="Times New Roman" w:cs="Times New Roman"/>
          <w:sz w:val="24"/>
          <w:szCs w:val="24"/>
        </w:rPr>
        <w:t xml:space="preserve"> </w:t>
      </w:r>
      <w:r w:rsidR="00671D2B" w:rsidRPr="00934291">
        <w:rPr>
          <w:rFonts w:ascii="Times New Roman" w:hAnsi="Times New Roman" w:cs="Times New Roman"/>
          <w:sz w:val="24"/>
          <w:szCs w:val="24"/>
        </w:rPr>
        <w:t>Purchasing</w:t>
      </w:r>
      <w:r w:rsidRPr="00934291">
        <w:rPr>
          <w:rFonts w:ascii="Times New Roman" w:hAnsi="Times New Roman" w:cs="Times New Roman"/>
          <w:sz w:val="24"/>
          <w:szCs w:val="24"/>
        </w:rPr>
        <w:t xml:space="preserve"> power parity (PPP) involves the use of models while applying the law of one price in estimating the necessary adjustments that are needed when countries are exchanging their currencies and is meant for equality of exchange rates for the c</w:t>
      </w:r>
      <w:r w:rsidR="00CC0FBC">
        <w:rPr>
          <w:rFonts w:ascii="Times New Roman" w:hAnsi="Times New Roman" w:cs="Times New Roman"/>
          <w:sz w:val="24"/>
          <w:szCs w:val="24"/>
        </w:rPr>
        <w:t xml:space="preserve">ountries involved. The interest rate parity (IRP) </w:t>
      </w:r>
      <w:r w:rsidRPr="00934291">
        <w:rPr>
          <w:rFonts w:ascii="Times New Roman" w:hAnsi="Times New Roman" w:cs="Times New Roman"/>
          <w:sz w:val="24"/>
          <w:szCs w:val="24"/>
        </w:rPr>
        <w:t>shows the relationship of two country’s nominal interest rates and the exchange rates between their respective currencies.</w:t>
      </w:r>
    </w:p>
    <w:p w:rsidR="00934291" w:rsidRPr="00934291" w:rsidRDefault="00934291" w:rsidP="00504136">
      <w:pPr>
        <w:spacing w:line="480" w:lineRule="auto"/>
        <w:ind w:firstLine="720"/>
        <w:jc w:val="both"/>
        <w:rPr>
          <w:rFonts w:ascii="Times New Roman" w:hAnsi="Times New Roman" w:cs="Times New Roman"/>
          <w:sz w:val="24"/>
          <w:szCs w:val="24"/>
        </w:rPr>
      </w:pPr>
      <w:r w:rsidRPr="00934291">
        <w:rPr>
          <w:rFonts w:ascii="Times New Roman" w:hAnsi="Times New Roman" w:cs="Times New Roman"/>
          <w:sz w:val="24"/>
          <w:szCs w:val="24"/>
        </w:rPr>
        <w:t>When determining the currency exchange rate, purchasing power parity (PPP) is used to consider the factors that affect the exchange rates.  The approach find</w:t>
      </w:r>
      <w:r w:rsidR="00A5325A">
        <w:rPr>
          <w:rFonts w:ascii="Times New Roman" w:hAnsi="Times New Roman" w:cs="Times New Roman"/>
          <w:sz w:val="24"/>
          <w:szCs w:val="24"/>
        </w:rPr>
        <w:t>s foreign price</w:t>
      </w:r>
      <w:r w:rsidRPr="00934291">
        <w:rPr>
          <w:rFonts w:ascii="Times New Roman" w:hAnsi="Times New Roman" w:cs="Times New Roman"/>
          <w:sz w:val="24"/>
          <w:szCs w:val="24"/>
        </w:rPr>
        <w:t xml:space="preserve"> of a</w:t>
      </w:r>
      <w:r w:rsidR="00A5325A">
        <w:rPr>
          <w:rFonts w:ascii="Times New Roman" w:hAnsi="Times New Roman" w:cs="Times New Roman"/>
          <w:sz w:val="24"/>
          <w:szCs w:val="24"/>
        </w:rPr>
        <w:t xml:space="preserve"> commodity,  price of domestic</w:t>
      </w:r>
      <w:r w:rsidR="00CC0FBC">
        <w:rPr>
          <w:rFonts w:ascii="Times New Roman" w:hAnsi="Times New Roman" w:cs="Times New Roman"/>
          <w:sz w:val="24"/>
          <w:szCs w:val="24"/>
        </w:rPr>
        <w:t xml:space="preserve"> product</w:t>
      </w:r>
      <w:r w:rsidR="00A5325A">
        <w:rPr>
          <w:rFonts w:ascii="Times New Roman" w:hAnsi="Times New Roman" w:cs="Times New Roman"/>
          <w:sz w:val="24"/>
          <w:szCs w:val="24"/>
        </w:rPr>
        <w:t>s</w:t>
      </w:r>
      <w:r w:rsidR="00CC0FBC">
        <w:rPr>
          <w:rFonts w:ascii="Times New Roman" w:hAnsi="Times New Roman" w:cs="Times New Roman"/>
          <w:sz w:val="24"/>
          <w:szCs w:val="24"/>
        </w:rPr>
        <w:t xml:space="preserve"> and the </w:t>
      </w:r>
      <w:r w:rsidRPr="00934291">
        <w:rPr>
          <w:rFonts w:ascii="Times New Roman" w:hAnsi="Times New Roman" w:cs="Times New Roman"/>
          <w:sz w:val="24"/>
          <w:szCs w:val="24"/>
        </w:rPr>
        <w:t xml:space="preserve"> equilibrium</w:t>
      </w:r>
      <w:r w:rsidR="00CC0FBC">
        <w:rPr>
          <w:rFonts w:ascii="Times New Roman" w:hAnsi="Times New Roman" w:cs="Times New Roman"/>
          <w:sz w:val="24"/>
          <w:szCs w:val="24"/>
        </w:rPr>
        <w:t xml:space="preserve"> value of </w:t>
      </w:r>
      <w:r w:rsidRPr="00934291">
        <w:rPr>
          <w:rFonts w:ascii="Times New Roman" w:hAnsi="Times New Roman" w:cs="Times New Roman"/>
          <w:sz w:val="24"/>
          <w:szCs w:val="24"/>
        </w:rPr>
        <w:t xml:space="preserve"> exchange rate that results into formula</w:t>
      </w:r>
      <w:r w:rsidR="00A5325A">
        <w:rPr>
          <w:rFonts w:ascii="Times New Roman" w:hAnsi="Times New Roman" w:cs="Times New Roman"/>
          <w:sz w:val="24"/>
          <w:szCs w:val="24"/>
        </w:rPr>
        <w:t xml:space="preserve">tion of an expression e= pd/pf .in this case </w:t>
      </w:r>
      <w:r w:rsidRPr="00934291">
        <w:rPr>
          <w:rFonts w:ascii="Times New Roman" w:hAnsi="Times New Roman" w:cs="Times New Roman"/>
          <w:sz w:val="24"/>
          <w:szCs w:val="24"/>
        </w:rPr>
        <w:t>e, is the exchange rate</w:t>
      </w:r>
      <w:r w:rsidR="00CC0FBC">
        <w:rPr>
          <w:rFonts w:ascii="Times New Roman" w:hAnsi="Times New Roman" w:cs="Times New Roman"/>
          <w:sz w:val="24"/>
          <w:szCs w:val="24"/>
        </w:rPr>
        <w:t xml:space="preserve"> </w:t>
      </w:r>
      <w:r w:rsidR="00CC0FBC" w:rsidRPr="00934291">
        <w:rPr>
          <w:rFonts w:ascii="Times New Roman" w:hAnsi="Times New Roman" w:cs="Times New Roman"/>
          <w:sz w:val="24"/>
          <w:szCs w:val="24"/>
        </w:rPr>
        <w:t>equilibrium</w:t>
      </w:r>
      <w:r w:rsidRPr="00934291">
        <w:rPr>
          <w:rFonts w:ascii="Times New Roman" w:hAnsi="Times New Roman" w:cs="Times New Roman"/>
          <w:sz w:val="24"/>
          <w:szCs w:val="24"/>
        </w:rPr>
        <w:t>, pd  as a  foreign price level of a co</w:t>
      </w:r>
      <w:r w:rsidR="00B02B47">
        <w:rPr>
          <w:rFonts w:ascii="Times New Roman" w:hAnsi="Times New Roman" w:cs="Times New Roman"/>
          <w:sz w:val="24"/>
          <w:szCs w:val="24"/>
        </w:rPr>
        <w:t xml:space="preserve">mmodity and pf which </w:t>
      </w:r>
      <w:r w:rsidRPr="00934291">
        <w:rPr>
          <w:rFonts w:ascii="Times New Roman" w:hAnsi="Times New Roman" w:cs="Times New Roman"/>
          <w:sz w:val="24"/>
          <w:szCs w:val="24"/>
        </w:rPr>
        <w:t xml:space="preserve"> price level of a</w:t>
      </w:r>
      <w:r w:rsidR="00B02B47">
        <w:rPr>
          <w:rFonts w:ascii="Times New Roman" w:hAnsi="Times New Roman" w:cs="Times New Roman"/>
          <w:sz w:val="24"/>
          <w:szCs w:val="24"/>
        </w:rPr>
        <w:t xml:space="preserve"> domestic </w:t>
      </w:r>
      <w:r w:rsidRPr="00934291">
        <w:rPr>
          <w:rFonts w:ascii="Times New Roman" w:hAnsi="Times New Roman" w:cs="Times New Roman"/>
          <w:sz w:val="24"/>
          <w:szCs w:val="24"/>
        </w:rPr>
        <w:t xml:space="preserve"> product.  Consider the following calculations </w:t>
      </w:r>
    </w:p>
    <w:p w:rsidR="00934291" w:rsidRPr="00934291" w:rsidRDefault="00934291" w:rsidP="00504136">
      <w:pPr>
        <w:spacing w:line="480" w:lineRule="auto"/>
        <w:ind w:firstLine="720"/>
        <w:jc w:val="both"/>
        <w:rPr>
          <w:rFonts w:ascii="Times New Roman" w:hAnsi="Times New Roman" w:cs="Times New Roman"/>
          <w:sz w:val="24"/>
          <w:szCs w:val="24"/>
        </w:rPr>
      </w:pPr>
      <w:r w:rsidRPr="00934291">
        <w:rPr>
          <w:rFonts w:ascii="Times New Roman" w:hAnsi="Times New Roman" w:cs="Times New Roman"/>
          <w:sz w:val="24"/>
          <w:szCs w:val="24"/>
        </w:rPr>
        <w:t>Suppose pf = 100 Yen and Pd=60 pd/pf can determine the exchange rate for this currency =60/100 =0.6. Mostly the purchasing power parity shows how the inflation rates as the time change the exchange rates also changes. Inflation lowers the purchasing power of currencies in a Nation. By use of relative purchasing power parity the two countries determine the level of exchange rates while marinating it as an inflation differential compensation as the time changes. However, the purchasing power parity has a couple of limitations regarding the determination of the exchange rates for the country’s currencies. Firstly, it is not completely accurate because it is not all the time when the exchange rates move to ensure the value of dollars equals to other countries currency (Bretscher et al., 2018). Also, it is not easy for countries to trade many of their goods. Secondly, the tradable goods in a country are not usually perfect substitutes even if produced in different countries and thus different consumers have different wants and therefore using the purchasing power parity to determine exchange rates does not provide an exact value of exchange rate to be used by two countries.</w:t>
      </w:r>
    </w:p>
    <w:p w:rsidR="00934291" w:rsidRPr="00934291" w:rsidRDefault="00934291" w:rsidP="00504136">
      <w:pPr>
        <w:spacing w:line="480" w:lineRule="auto"/>
        <w:ind w:firstLine="720"/>
        <w:jc w:val="both"/>
        <w:rPr>
          <w:rFonts w:ascii="Times New Roman" w:hAnsi="Times New Roman" w:cs="Times New Roman"/>
          <w:sz w:val="24"/>
          <w:szCs w:val="24"/>
        </w:rPr>
      </w:pPr>
      <w:r w:rsidRPr="00934291">
        <w:rPr>
          <w:rFonts w:ascii="Times New Roman" w:hAnsi="Times New Roman" w:cs="Times New Roman"/>
          <w:sz w:val="24"/>
          <w:szCs w:val="24"/>
        </w:rPr>
        <w:t>The exchange rates can also be determined by the use of interest rate parity theory (IRP). This theory is used under a condition in which there is an equal rate of returns which are compared in terms of currencies of the two countries and this case, the theory explains how the rates and the value of exchange move (Rózsa and Darabos 2015) Mostly, it is considered as an approach to exchange rate determination. This theory determines the exchange rates by proposing a link between two currencies including the spot and the forward rate of exchange between two countries like the United States and Canada. It can be used in predicting the possible exchange rates movement between two countries in the event where there are known free interest rates for the two currencies. In the determination of the exchange rates for the currencies covered and uncovered interest rate parities are used. For instance, the banks can use covered interest rate parity formula which is given by dividing forward rates by the spot rate which equals to (1+i quote/ (1+i base) n</w:t>
      </w:r>
    </w:p>
    <w:p w:rsidR="00934291" w:rsidRPr="00934291" w:rsidRDefault="00934291" w:rsidP="00504136">
      <w:pPr>
        <w:spacing w:line="480" w:lineRule="auto"/>
        <w:ind w:firstLine="720"/>
        <w:jc w:val="both"/>
        <w:rPr>
          <w:rFonts w:ascii="Times New Roman" w:hAnsi="Times New Roman" w:cs="Times New Roman"/>
          <w:sz w:val="24"/>
          <w:szCs w:val="24"/>
        </w:rPr>
      </w:pPr>
      <w:r w:rsidRPr="00934291">
        <w:rPr>
          <w:rFonts w:ascii="Times New Roman" w:hAnsi="Times New Roman" w:cs="Times New Roman"/>
          <w:sz w:val="24"/>
          <w:szCs w:val="24"/>
        </w:rPr>
        <w:t>In this case, a quote is the interest quote currency while i base is the base currency and n is the number of years till forwarding rate date. Most importantly, the interest rate parity is applied in determining the exchange rates by estimation of forwarding rates between any given two currencies.</w:t>
      </w:r>
    </w:p>
    <w:p w:rsidR="00934291" w:rsidRPr="00934291" w:rsidRDefault="00110A2B" w:rsidP="005041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Consider </w:t>
      </w:r>
      <w:r w:rsidR="00FD6D75">
        <w:rPr>
          <w:rFonts w:ascii="Times New Roman" w:hAnsi="Times New Roman" w:cs="Times New Roman"/>
          <w:sz w:val="24"/>
          <w:szCs w:val="24"/>
        </w:rPr>
        <w:t xml:space="preserve">the </w:t>
      </w:r>
      <w:r w:rsidR="00FD6D75" w:rsidRPr="00934291">
        <w:rPr>
          <w:rFonts w:ascii="Times New Roman" w:hAnsi="Times New Roman" w:cs="Times New Roman"/>
          <w:sz w:val="24"/>
          <w:szCs w:val="24"/>
        </w:rPr>
        <w:t>calculation</w:t>
      </w:r>
      <w:r w:rsidR="00934291" w:rsidRPr="00934291">
        <w:rPr>
          <w:rFonts w:ascii="Times New Roman" w:hAnsi="Times New Roman" w:cs="Times New Roman"/>
          <w:sz w:val="24"/>
          <w:szCs w:val="24"/>
        </w:rPr>
        <w:t xml:space="preserve"> involving interest rate parity </w:t>
      </w:r>
    </w:p>
    <w:p w:rsidR="00934291" w:rsidRPr="00934291" w:rsidRDefault="00934291" w:rsidP="00504136">
      <w:pPr>
        <w:spacing w:line="480" w:lineRule="auto"/>
        <w:ind w:firstLine="720"/>
        <w:jc w:val="both"/>
        <w:rPr>
          <w:rFonts w:ascii="Times New Roman" w:hAnsi="Times New Roman" w:cs="Times New Roman"/>
          <w:sz w:val="24"/>
          <w:szCs w:val="24"/>
        </w:rPr>
      </w:pPr>
      <w:r w:rsidRPr="00934291">
        <w:rPr>
          <w:rFonts w:ascii="Times New Roman" w:hAnsi="Times New Roman" w:cs="Times New Roman"/>
          <w:sz w:val="24"/>
          <w:szCs w:val="24"/>
        </w:rPr>
        <w:t xml:space="preserve">Imagine A situation in a mid-market where U.S dollar /Canadian dollar spot exchange is 1.2400 </w:t>
      </w:r>
      <w:r w:rsidR="00A917B6" w:rsidRPr="00934291">
        <w:rPr>
          <w:rFonts w:ascii="Times New Roman" w:hAnsi="Times New Roman" w:cs="Times New Roman"/>
          <w:sz w:val="24"/>
          <w:szCs w:val="24"/>
        </w:rPr>
        <w:t>CAD</w:t>
      </w:r>
      <w:r w:rsidRPr="00934291">
        <w:rPr>
          <w:rFonts w:ascii="Times New Roman" w:hAnsi="Times New Roman" w:cs="Times New Roman"/>
          <w:sz w:val="24"/>
          <w:szCs w:val="24"/>
        </w:rPr>
        <w:t xml:space="preserve"> and the one-year forward rate is 1.2280 CAD, and the risk-free interest rate is 3% for USD and 2% for CAD. For the bank to determine the foreign exchange rate, they consider whether interest rate parity exists between USD and CAD. This is shown below </w:t>
      </w:r>
    </w:p>
    <w:p w:rsidR="00934291" w:rsidRPr="00934291" w:rsidRDefault="00934291" w:rsidP="00504136">
      <w:pPr>
        <w:spacing w:line="480" w:lineRule="auto"/>
        <w:ind w:firstLine="720"/>
        <w:jc w:val="both"/>
        <w:rPr>
          <w:rFonts w:ascii="Times New Roman" w:hAnsi="Times New Roman" w:cs="Times New Roman"/>
          <w:sz w:val="24"/>
          <w:szCs w:val="24"/>
        </w:rPr>
      </w:pPr>
      <w:r w:rsidRPr="00934291">
        <w:rPr>
          <w:rFonts w:ascii="Times New Roman" w:hAnsi="Times New Roman" w:cs="Times New Roman"/>
          <w:sz w:val="24"/>
          <w:szCs w:val="24"/>
        </w:rPr>
        <w:t>Forward to spot ration = CAD/USD=1.2280/1.2400=0.99032</w:t>
      </w:r>
    </w:p>
    <w:p w:rsidR="00934291" w:rsidRPr="00934291" w:rsidRDefault="00934291" w:rsidP="00504136">
      <w:pPr>
        <w:spacing w:line="480" w:lineRule="auto"/>
        <w:ind w:firstLine="720"/>
        <w:jc w:val="both"/>
        <w:rPr>
          <w:rFonts w:ascii="Times New Roman" w:hAnsi="Times New Roman" w:cs="Times New Roman"/>
          <w:sz w:val="24"/>
          <w:szCs w:val="24"/>
        </w:rPr>
      </w:pPr>
      <w:r w:rsidRPr="00934291">
        <w:rPr>
          <w:rFonts w:ascii="Times New Roman" w:hAnsi="Times New Roman" w:cs="Times New Roman"/>
          <w:sz w:val="24"/>
          <w:szCs w:val="24"/>
        </w:rPr>
        <w:t>Return ratio = (1+2%/1+3%) 1 =0.99029</w:t>
      </w:r>
    </w:p>
    <w:p w:rsidR="00934291" w:rsidRPr="00934291" w:rsidRDefault="00934291" w:rsidP="00504136">
      <w:pPr>
        <w:spacing w:line="480" w:lineRule="auto"/>
        <w:ind w:firstLine="720"/>
        <w:jc w:val="both"/>
        <w:rPr>
          <w:rFonts w:ascii="Times New Roman" w:hAnsi="Times New Roman" w:cs="Times New Roman"/>
          <w:sz w:val="24"/>
          <w:szCs w:val="24"/>
        </w:rPr>
      </w:pPr>
      <w:r w:rsidRPr="00934291">
        <w:rPr>
          <w:rFonts w:ascii="Times New Roman" w:hAnsi="Times New Roman" w:cs="Times New Roman"/>
          <w:sz w:val="24"/>
          <w:szCs w:val="24"/>
        </w:rPr>
        <w:t>It follows that since the two values are almost the same, the IRP Exits in these currencies. The limitation of using this interest rate parity is that its model provides little proof of its application and thus most cases those countries with higher interest rate experiences currency appreciation resulting from its demand and less risk of arbitrage (Papaioannou, 2006).</w:t>
      </w:r>
    </w:p>
    <w:p w:rsidR="00934291" w:rsidRPr="00934291" w:rsidRDefault="00934291" w:rsidP="00504136">
      <w:pPr>
        <w:spacing w:line="480" w:lineRule="auto"/>
        <w:ind w:firstLine="720"/>
        <w:jc w:val="both"/>
        <w:rPr>
          <w:rFonts w:ascii="Times New Roman" w:hAnsi="Times New Roman" w:cs="Times New Roman"/>
          <w:sz w:val="24"/>
          <w:szCs w:val="24"/>
        </w:rPr>
      </w:pPr>
      <w:r w:rsidRPr="00934291">
        <w:rPr>
          <w:rFonts w:ascii="Times New Roman" w:hAnsi="Times New Roman" w:cs="Times New Roman"/>
          <w:sz w:val="24"/>
          <w:szCs w:val="24"/>
        </w:rPr>
        <w:t>Rózsa and Darabos (2015) discussed cash-flow harmonization as one of the internal risk management technique. This technique can be useful in the event where most businesses in different countries plan to harmonize their revenues in foreign exchange due to the currency expenses. At the time of sales and bank transaction, the fluctuation led to changes brought about the deficit which is trade surplus effect that affects the exchange rate. In this case exports are stimulated by weak domestic currencies hence export becoming expensive. Conversely, imports are made cheaper if the local currency is stable due to the hampering of commodities. Therefore the article provides sufficient</w:t>
      </w:r>
      <w:r w:rsidR="00E55067">
        <w:rPr>
          <w:rFonts w:ascii="Times New Roman" w:hAnsi="Times New Roman" w:cs="Times New Roman"/>
          <w:sz w:val="24"/>
          <w:szCs w:val="24"/>
        </w:rPr>
        <w:t xml:space="preserve"> evidence by explaining how the</w:t>
      </w:r>
      <w:r w:rsidRPr="00934291">
        <w:rPr>
          <w:rFonts w:ascii="Times New Roman" w:hAnsi="Times New Roman" w:cs="Times New Roman"/>
          <w:sz w:val="24"/>
          <w:szCs w:val="24"/>
        </w:rPr>
        <w:t xml:space="preserve"> rate</w:t>
      </w:r>
      <w:r w:rsidR="00E55067">
        <w:rPr>
          <w:rFonts w:ascii="Times New Roman" w:hAnsi="Times New Roman" w:cs="Times New Roman"/>
          <w:sz w:val="24"/>
          <w:szCs w:val="24"/>
        </w:rPr>
        <w:t xml:space="preserve"> of exchange is determined as </w:t>
      </w:r>
      <w:r w:rsidR="00FD6D75">
        <w:rPr>
          <w:rFonts w:ascii="Times New Roman" w:hAnsi="Times New Roman" w:cs="Times New Roman"/>
          <w:sz w:val="24"/>
          <w:szCs w:val="24"/>
        </w:rPr>
        <w:t xml:space="preserve">well </w:t>
      </w:r>
      <w:r w:rsidR="00FD6D75" w:rsidRPr="00934291">
        <w:rPr>
          <w:rFonts w:ascii="Times New Roman" w:hAnsi="Times New Roman" w:cs="Times New Roman"/>
          <w:sz w:val="24"/>
          <w:szCs w:val="24"/>
        </w:rPr>
        <w:t>the</w:t>
      </w:r>
      <w:r w:rsidRPr="00934291">
        <w:rPr>
          <w:rFonts w:ascii="Times New Roman" w:hAnsi="Times New Roman" w:cs="Times New Roman"/>
          <w:sz w:val="24"/>
          <w:szCs w:val="24"/>
        </w:rPr>
        <w:t xml:space="preserve"> strategies for the internal exchange risk management techniques in exchange rates.</w:t>
      </w:r>
    </w:p>
    <w:p w:rsidR="00934291" w:rsidRPr="00934291" w:rsidRDefault="00934291" w:rsidP="00934291">
      <w:pPr>
        <w:spacing w:line="480" w:lineRule="auto"/>
        <w:ind w:firstLine="720"/>
        <w:jc w:val="both"/>
        <w:rPr>
          <w:rFonts w:ascii="Times New Roman" w:hAnsi="Times New Roman" w:cs="Times New Roman"/>
          <w:sz w:val="24"/>
          <w:szCs w:val="24"/>
        </w:rPr>
      </w:pPr>
    </w:p>
    <w:p w:rsidR="00934291" w:rsidRPr="00934291" w:rsidRDefault="00934291" w:rsidP="00934291">
      <w:pPr>
        <w:spacing w:line="480" w:lineRule="auto"/>
        <w:ind w:firstLine="720"/>
        <w:jc w:val="center"/>
        <w:rPr>
          <w:rFonts w:ascii="Times New Roman" w:hAnsi="Times New Roman" w:cs="Times New Roman"/>
          <w:sz w:val="24"/>
          <w:szCs w:val="24"/>
        </w:rPr>
      </w:pPr>
      <w:r w:rsidRPr="00934291">
        <w:rPr>
          <w:rFonts w:ascii="Times New Roman" w:hAnsi="Times New Roman" w:cs="Times New Roman"/>
          <w:b/>
          <w:sz w:val="24"/>
          <w:szCs w:val="24"/>
        </w:rPr>
        <w:t>Reference</w:t>
      </w:r>
    </w:p>
    <w:p w:rsidR="00934291" w:rsidRPr="00934291" w:rsidRDefault="00934291" w:rsidP="00F80662">
      <w:pPr>
        <w:spacing w:line="480" w:lineRule="auto"/>
        <w:ind w:left="720" w:hanging="720"/>
        <w:jc w:val="both"/>
        <w:rPr>
          <w:rFonts w:ascii="Times New Roman" w:hAnsi="Times New Roman" w:cs="Times New Roman"/>
          <w:sz w:val="24"/>
          <w:szCs w:val="24"/>
        </w:rPr>
      </w:pPr>
      <w:r w:rsidRPr="00934291">
        <w:rPr>
          <w:rFonts w:ascii="Times New Roman" w:hAnsi="Times New Roman" w:cs="Times New Roman"/>
          <w:sz w:val="24"/>
          <w:szCs w:val="24"/>
        </w:rPr>
        <w:t>Papaioannou, M. G. (2006). Exchange rate risk measurement and management: issues and approaches for firms (No. 2006-2255). International Monetary Fund.</w:t>
      </w:r>
    </w:p>
    <w:p w:rsidR="00934291" w:rsidRPr="00934291" w:rsidRDefault="00934291" w:rsidP="00F80662">
      <w:pPr>
        <w:spacing w:line="480" w:lineRule="auto"/>
        <w:ind w:left="720" w:hanging="720"/>
        <w:jc w:val="both"/>
        <w:rPr>
          <w:rFonts w:ascii="Times New Roman" w:hAnsi="Times New Roman" w:cs="Times New Roman"/>
          <w:sz w:val="24"/>
          <w:szCs w:val="24"/>
        </w:rPr>
      </w:pPr>
      <w:r w:rsidRPr="00934291">
        <w:rPr>
          <w:rFonts w:ascii="Times New Roman" w:hAnsi="Times New Roman" w:cs="Times New Roman"/>
          <w:sz w:val="24"/>
          <w:szCs w:val="24"/>
        </w:rPr>
        <w:t>Rózsa, A., &amp; Debora. (2015). The Chosen Exchange Rate As The Possibility Of Reducing The Risks Of Currency Exchange Transactions. The Annals of the University of Oradea, 923.</w:t>
      </w:r>
    </w:p>
    <w:p w:rsidR="00934291" w:rsidRPr="00934291" w:rsidRDefault="00934291" w:rsidP="00F80662">
      <w:pPr>
        <w:spacing w:line="480" w:lineRule="auto"/>
        <w:ind w:left="720" w:hanging="720"/>
        <w:jc w:val="both"/>
        <w:rPr>
          <w:rFonts w:ascii="Times New Roman" w:hAnsi="Times New Roman" w:cs="Times New Roman"/>
          <w:sz w:val="24"/>
          <w:szCs w:val="24"/>
        </w:rPr>
      </w:pPr>
      <w:r w:rsidRPr="00934291">
        <w:rPr>
          <w:rFonts w:ascii="Times New Roman" w:hAnsi="Times New Roman" w:cs="Times New Roman"/>
          <w:sz w:val="24"/>
          <w:szCs w:val="24"/>
        </w:rPr>
        <w:t>Bretscher, L., Schmid, L., &amp; Vedolin, A. (2018). Interest rate risk management in uncertain times. The Review of Financial Studies, 31(8), 3019-3060.</w:t>
      </w:r>
    </w:p>
    <w:p w:rsidR="009256AE" w:rsidRPr="0057345B" w:rsidRDefault="009256AE" w:rsidP="005F1B39">
      <w:pPr>
        <w:spacing w:line="480" w:lineRule="auto"/>
        <w:ind w:firstLine="720"/>
        <w:jc w:val="both"/>
        <w:rPr>
          <w:rFonts w:ascii="Times New Roman" w:hAnsi="Times New Roman" w:cs="Times New Roman"/>
          <w:sz w:val="24"/>
          <w:szCs w:val="24"/>
        </w:rPr>
      </w:pPr>
    </w:p>
    <w:sectPr w:rsidR="009256AE" w:rsidRPr="0057345B" w:rsidSect="007E7B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672" w:rsidRDefault="00F33672" w:rsidP="007E7B94">
      <w:pPr>
        <w:spacing w:after="0" w:line="240" w:lineRule="auto"/>
      </w:pPr>
      <w:r>
        <w:separator/>
      </w:r>
    </w:p>
  </w:endnote>
  <w:endnote w:type="continuationSeparator" w:id="0">
    <w:p w:rsidR="00F33672" w:rsidRDefault="00F33672" w:rsidP="007E7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672" w:rsidRDefault="00F33672" w:rsidP="007E7B94">
      <w:pPr>
        <w:spacing w:after="0" w:line="240" w:lineRule="auto"/>
      </w:pPr>
      <w:r>
        <w:separator/>
      </w:r>
    </w:p>
  </w:footnote>
  <w:footnote w:type="continuationSeparator" w:id="0">
    <w:p w:rsidR="00F33672" w:rsidRDefault="00F33672" w:rsidP="007E7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78618967"/>
      <w:docPartObj>
        <w:docPartGallery w:val="Page Numbers (Top of Page)"/>
        <w:docPartUnique/>
      </w:docPartObj>
    </w:sdtPr>
    <w:sdtEndPr>
      <w:rPr>
        <w:noProof/>
      </w:rPr>
    </w:sdtEndPr>
    <w:sdtContent>
      <w:p w:rsidR="007E7B94" w:rsidRPr="007E7B94" w:rsidRDefault="007E7B94" w:rsidP="007E7B94">
        <w:pPr>
          <w:spacing w:line="480" w:lineRule="auto"/>
          <w:rPr>
            <w:rFonts w:ascii="Times New Roman" w:hAnsi="Times New Roman" w:cs="Times New Roman"/>
            <w:b/>
            <w:sz w:val="24"/>
            <w:szCs w:val="24"/>
          </w:rPr>
        </w:pPr>
        <w:r w:rsidRPr="007E7B94">
          <w:rPr>
            <w:rFonts w:ascii="Times New Roman" w:hAnsi="Times New Roman" w:cs="Times New Roman"/>
            <w:sz w:val="24"/>
            <w:szCs w:val="24"/>
          </w:rPr>
          <w:t xml:space="preserve"> </w:t>
        </w:r>
        <w:r w:rsidR="007D15BE">
          <w:rPr>
            <w:rFonts w:ascii="Times New Roman" w:hAnsi="Times New Roman" w:cs="Times New Roman"/>
            <w:sz w:val="24"/>
            <w:szCs w:val="24"/>
          </w:rPr>
          <w:t>EXCHANGE</w:t>
        </w:r>
        <w:r w:rsidR="00257776">
          <w:rPr>
            <w:rFonts w:ascii="Times New Roman" w:hAnsi="Times New Roman" w:cs="Times New Roman"/>
            <w:sz w:val="24"/>
            <w:szCs w:val="24"/>
          </w:rPr>
          <w:t xml:space="preserve"> RATES                                                                                                                    </w:t>
        </w:r>
        <w:r w:rsidR="007D15BE" w:rsidRPr="007E7B94">
          <w:rPr>
            <w:rFonts w:ascii="Times New Roman" w:hAnsi="Times New Roman" w:cs="Times New Roman"/>
            <w:sz w:val="24"/>
            <w:szCs w:val="24"/>
          </w:rPr>
          <w:t xml:space="preserve"> </w:t>
        </w:r>
        <w:r w:rsidRPr="007E7B94">
          <w:rPr>
            <w:rFonts w:ascii="Times New Roman" w:hAnsi="Times New Roman" w:cs="Times New Roman"/>
            <w:sz w:val="24"/>
            <w:szCs w:val="24"/>
          </w:rPr>
          <w:fldChar w:fldCharType="begin"/>
        </w:r>
        <w:r w:rsidRPr="007E7B94">
          <w:rPr>
            <w:rFonts w:ascii="Times New Roman" w:hAnsi="Times New Roman" w:cs="Times New Roman"/>
            <w:sz w:val="24"/>
            <w:szCs w:val="24"/>
          </w:rPr>
          <w:instrText xml:space="preserve"> PAGE   \* MERGEFORMAT </w:instrText>
        </w:r>
        <w:r w:rsidRPr="007E7B94">
          <w:rPr>
            <w:rFonts w:ascii="Times New Roman" w:hAnsi="Times New Roman" w:cs="Times New Roman"/>
            <w:sz w:val="24"/>
            <w:szCs w:val="24"/>
          </w:rPr>
          <w:fldChar w:fldCharType="separate"/>
        </w:r>
        <w:r w:rsidR="00021118">
          <w:rPr>
            <w:rFonts w:ascii="Times New Roman" w:hAnsi="Times New Roman" w:cs="Times New Roman"/>
            <w:noProof/>
            <w:sz w:val="24"/>
            <w:szCs w:val="24"/>
          </w:rPr>
          <w:t>5</w:t>
        </w:r>
        <w:r w:rsidRPr="007E7B9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94" w:rsidRPr="007E7B94" w:rsidRDefault="007E7B94" w:rsidP="007E7B94">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7D15BE">
      <w:rPr>
        <w:rFonts w:ascii="Times New Roman" w:hAnsi="Times New Roman" w:cs="Times New Roman"/>
        <w:sz w:val="24"/>
        <w:szCs w:val="24"/>
      </w:rPr>
      <w:t>EXCHANGE</w:t>
    </w:r>
    <w:r w:rsidR="000C7BB6">
      <w:rPr>
        <w:rFonts w:ascii="Times New Roman" w:hAnsi="Times New Roman" w:cs="Times New Roman"/>
        <w:sz w:val="24"/>
        <w:szCs w:val="24"/>
      </w:rPr>
      <w:t xml:space="preserve"> RATE                                                                                              </w:t>
    </w:r>
    <w:r w:rsidR="007D15BE">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8D0"/>
    <w:rsid w:val="00021118"/>
    <w:rsid w:val="0005496F"/>
    <w:rsid w:val="00065127"/>
    <w:rsid w:val="00085B8E"/>
    <w:rsid w:val="000C7BB6"/>
    <w:rsid w:val="000D0ADA"/>
    <w:rsid w:val="00110A2B"/>
    <w:rsid w:val="00175DAD"/>
    <w:rsid w:val="001A6D9A"/>
    <w:rsid w:val="001E159D"/>
    <w:rsid w:val="00206CD7"/>
    <w:rsid w:val="0020753E"/>
    <w:rsid w:val="00257776"/>
    <w:rsid w:val="002D6930"/>
    <w:rsid w:val="002E0AAB"/>
    <w:rsid w:val="00316685"/>
    <w:rsid w:val="003419C9"/>
    <w:rsid w:val="003D40B5"/>
    <w:rsid w:val="003F47A7"/>
    <w:rsid w:val="004654F7"/>
    <w:rsid w:val="004F6821"/>
    <w:rsid w:val="00504136"/>
    <w:rsid w:val="0057345B"/>
    <w:rsid w:val="005A4233"/>
    <w:rsid w:val="005A6CFE"/>
    <w:rsid w:val="005C426C"/>
    <w:rsid w:val="005F1B39"/>
    <w:rsid w:val="00661561"/>
    <w:rsid w:val="006621FC"/>
    <w:rsid w:val="00671D2B"/>
    <w:rsid w:val="0069432E"/>
    <w:rsid w:val="006D1DDB"/>
    <w:rsid w:val="006D3707"/>
    <w:rsid w:val="00766E46"/>
    <w:rsid w:val="007A716F"/>
    <w:rsid w:val="007B3B39"/>
    <w:rsid w:val="007D15BE"/>
    <w:rsid w:val="007E7B94"/>
    <w:rsid w:val="0080025B"/>
    <w:rsid w:val="008B2B5D"/>
    <w:rsid w:val="009256AE"/>
    <w:rsid w:val="00926B7F"/>
    <w:rsid w:val="00934291"/>
    <w:rsid w:val="00937EE7"/>
    <w:rsid w:val="009B44E1"/>
    <w:rsid w:val="009C19E7"/>
    <w:rsid w:val="009C50C7"/>
    <w:rsid w:val="00A30052"/>
    <w:rsid w:val="00A330B5"/>
    <w:rsid w:val="00A5325A"/>
    <w:rsid w:val="00A86D74"/>
    <w:rsid w:val="00A917B6"/>
    <w:rsid w:val="00AC45C5"/>
    <w:rsid w:val="00AE7CD4"/>
    <w:rsid w:val="00B02B47"/>
    <w:rsid w:val="00B61DEA"/>
    <w:rsid w:val="00BB48FB"/>
    <w:rsid w:val="00C00948"/>
    <w:rsid w:val="00C82AE3"/>
    <w:rsid w:val="00CA0714"/>
    <w:rsid w:val="00CC0FBC"/>
    <w:rsid w:val="00CD59B6"/>
    <w:rsid w:val="00D44C8C"/>
    <w:rsid w:val="00D609D5"/>
    <w:rsid w:val="00D91A50"/>
    <w:rsid w:val="00DA1979"/>
    <w:rsid w:val="00DC1B8B"/>
    <w:rsid w:val="00E12ED5"/>
    <w:rsid w:val="00E134EE"/>
    <w:rsid w:val="00E37896"/>
    <w:rsid w:val="00E4387E"/>
    <w:rsid w:val="00E55067"/>
    <w:rsid w:val="00E82535"/>
    <w:rsid w:val="00EC0709"/>
    <w:rsid w:val="00EF2ADF"/>
    <w:rsid w:val="00F02344"/>
    <w:rsid w:val="00F33672"/>
    <w:rsid w:val="00F56F28"/>
    <w:rsid w:val="00F80662"/>
    <w:rsid w:val="00FD08D0"/>
    <w:rsid w:val="00FD6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BBFD7B-9A05-4E75-BA30-5E7FE648E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B94"/>
  </w:style>
  <w:style w:type="paragraph" w:styleId="Footer">
    <w:name w:val="footer"/>
    <w:basedOn w:val="Normal"/>
    <w:link w:val="FooterChar"/>
    <w:uiPriority w:val="99"/>
    <w:unhideWhenUsed/>
    <w:rsid w:val="007E7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287846">
      <w:bodyDiv w:val="1"/>
      <w:marLeft w:val="0"/>
      <w:marRight w:val="0"/>
      <w:marTop w:val="0"/>
      <w:marBottom w:val="0"/>
      <w:divBdr>
        <w:top w:val="none" w:sz="0" w:space="0" w:color="auto"/>
        <w:left w:val="none" w:sz="0" w:space="0" w:color="auto"/>
        <w:bottom w:val="none" w:sz="0" w:space="0" w:color="auto"/>
        <w:right w:val="none" w:sz="0" w:space="0" w:color="auto"/>
      </w:divBdr>
      <w:divsChild>
        <w:div w:id="1215313407">
          <w:marLeft w:val="0"/>
          <w:marRight w:val="0"/>
          <w:marTop w:val="0"/>
          <w:marBottom w:val="0"/>
          <w:divBdr>
            <w:top w:val="none" w:sz="0" w:space="0" w:color="auto"/>
            <w:left w:val="none" w:sz="0" w:space="0" w:color="auto"/>
            <w:bottom w:val="none" w:sz="0" w:space="0" w:color="auto"/>
            <w:right w:val="none" w:sz="0" w:space="0" w:color="auto"/>
          </w:divBdr>
        </w:div>
      </w:divsChild>
    </w:div>
    <w:div w:id="1001808762">
      <w:bodyDiv w:val="1"/>
      <w:marLeft w:val="0"/>
      <w:marRight w:val="0"/>
      <w:marTop w:val="0"/>
      <w:marBottom w:val="0"/>
      <w:divBdr>
        <w:top w:val="none" w:sz="0" w:space="0" w:color="auto"/>
        <w:left w:val="none" w:sz="0" w:space="0" w:color="auto"/>
        <w:bottom w:val="none" w:sz="0" w:space="0" w:color="auto"/>
        <w:right w:val="none" w:sz="0" w:space="0" w:color="auto"/>
      </w:divBdr>
      <w:divsChild>
        <w:div w:id="2114203239">
          <w:marLeft w:val="0"/>
          <w:marRight w:val="0"/>
          <w:marTop w:val="0"/>
          <w:marBottom w:val="0"/>
          <w:divBdr>
            <w:top w:val="none" w:sz="0" w:space="0" w:color="auto"/>
            <w:left w:val="none" w:sz="0" w:space="0" w:color="auto"/>
            <w:bottom w:val="none" w:sz="0" w:space="0" w:color="auto"/>
            <w:right w:val="none" w:sz="0" w:space="0" w:color="auto"/>
          </w:divBdr>
        </w:div>
      </w:divsChild>
    </w:div>
    <w:div w:id="1484201241">
      <w:bodyDiv w:val="1"/>
      <w:marLeft w:val="0"/>
      <w:marRight w:val="0"/>
      <w:marTop w:val="0"/>
      <w:marBottom w:val="0"/>
      <w:divBdr>
        <w:top w:val="none" w:sz="0" w:space="0" w:color="auto"/>
        <w:left w:val="none" w:sz="0" w:space="0" w:color="auto"/>
        <w:bottom w:val="none" w:sz="0" w:space="0" w:color="auto"/>
        <w:right w:val="none" w:sz="0" w:space="0" w:color="auto"/>
      </w:divBdr>
      <w:divsChild>
        <w:div w:id="451437083">
          <w:marLeft w:val="0"/>
          <w:marRight w:val="0"/>
          <w:marTop w:val="0"/>
          <w:marBottom w:val="0"/>
          <w:divBdr>
            <w:top w:val="none" w:sz="0" w:space="0" w:color="auto"/>
            <w:left w:val="none" w:sz="0" w:space="0" w:color="auto"/>
            <w:bottom w:val="none" w:sz="0" w:space="0" w:color="auto"/>
            <w:right w:val="none" w:sz="0" w:space="0" w:color="auto"/>
          </w:divBdr>
        </w:div>
      </w:divsChild>
    </w:div>
    <w:div w:id="2069453717">
      <w:bodyDiv w:val="1"/>
      <w:marLeft w:val="0"/>
      <w:marRight w:val="0"/>
      <w:marTop w:val="0"/>
      <w:marBottom w:val="0"/>
      <w:divBdr>
        <w:top w:val="none" w:sz="0" w:space="0" w:color="auto"/>
        <w:left w:val="none" w:sz="0" w:space="0" w:color="auto"/>
        <w:bottom w:val="none" w:sz="0" w:space="0" w:color="auto"/>
        <w:right w:val="none" w:sz="0" w:space="0" w:color="auto"/>
      </w:divBdr>
      <w:divsChild>
        <w:div w:id="826897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2018-07-26T22:58:00Z</dcterms:created>
  <dcterms:modified xsi:type="dcterms:W3CDTF">2018-07-26T22:58:00Z</dcterms:modified>
</cp:coreProperties>
</file>