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6ED3" w:rsidRDefault="00296ED3" w:rsidP="00296ED3">
      <w:pPr>
        <w:spacing w:line="480" w:lineRule="auto"/>
        <w:jc w:val="center"/>
        <w:rPr>
          <w:rFonts w:ascii="Times New Roman" w:hAnsi="Times New Roman" w:cs="Times New Roman"/>
          <w:sz w:val="24"/>
          <w:szCs w:val="24"/>
        </w:rPr>
      </w:pPr>
    </w:p>
    <w:p w:rsidR="00296ED3" w:rsidRDefault="00296ED3" w:rsidP="00296ED3">
      <w:pPr>
        <w:spacing w:line="480" w:lineRule="auto"/>
        <w:jc w:val="center"/>
        <w:rPr>
          <w:rFonts w:ascii="Times New Roman" w:hAnsi="Times New Roman" w:cs="Times New Roman"/>
          <w:sz w:val="24"/>
          <w:szCs w:val="24"/>
        </w:rPr>
      </w:pPr>
    </w:p>
    <w:p w:rsidR="00296ED3" w:rsidRDefault="00296ED3" w:rsidP="00296ED3">
      <w:pPr>
        <w:spacing w:line="480" w:lineRule="auto"/>
        <w:jc w:val="center"/>
        <w:rPr>
          <w:rFonts w:ascii="Times New Roman" w:hAnsi="Times New Roman" w:cs="Times New Roman"/>
          <w:sz w:val="24"/>
          <w:szCs w:val="24"/>
        </w:rPr>
      </w:pPr>
    </w:p>
    <w:p w:rsidR="00DF4693" w:rsidRDefault="00DF4693" w:rsidP="00296ED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Policy Reform </w:t>
      </w:r>
    </w:p>
    <w:p w:rsidR="0017454C" w:rsidRPr="0017454C" w:rsidRDefault="0017454C" w:rsidP="00296ED3">
      <w:pPr>
        <w:spacing w:line="480" w:lineRule="auto"/>
        <w:jc w:val="center"/>
        <w:rPr>
          <w:rFonts w:ascii="Times New Roman" w:hAnsi="Times New Roman" w:cs="Times New Roman"/>
          <w:sz w:val="24"/>
          <w:szCs w:val="24"/>
        </w:rPr>
      </w:pPr>
      <w:r w:rsidRPr="0017454C">
        <w:rPr>
          <w:rFonts w:ascii="Times New Roman" w:hAnsi="Times New Roman" w:cs="Times New Roman"/>
          <w:sz w:val="24"/>
          <w:szCs w:val="24"/>
        </w:rPr>
        <w:t>Name:</w:t>
      </w:r>
    </w:p>
    <w:p w:rsidR="0017454C" w:rsidRPr="0017454C" w:rsidRDefault="0017454C" w:rsidP="00296ED3">
      <w:pPr>
        <w:spacing w:line="480" w:lineRule="auto"/>
        <w:jc w:val="center"/>
        <w:rPr>
          <w:rFonts w:ascii="Times New Roman" w:hAnsi="Times New Roman" w:cs="Times New Roman"/>
          <w:sz w:val="24"/>
          <w:szCs w:val="24"/>
        </w:rPr>
      </w:pPr>
      <w:r w:rsidRPr="0017454C">
        <w:rPr>
          <w:rFonts w:ascii="Times New Roman" w:hAnsi="Times New Roman" w:cs="Times New Roman"/>
          <w:sz w:val="24"/>
          <w:szCs w:val="24"/>
        </w:rPr>
        <w:t>Professor:</w:t>
      </w:r>
    </w:p>
    <w:p w:rsidR="0017454C" w:rsidRPr="0017454C" w:rsidRDefault="0017454C" w:rsidP="00296ED3">
      <w:pPr>
        <w:spacing w:line="480" w:lineRule="auto"/>
        <w:jc w:val="center"/>
        <w:rPr>
          <w:rFonts w:ascii="Times New Roman" w:hAnsi="Times New Roman" w:cs="Times New Roman"/>
          <w:sz w:val="24"/>
          <w:szCs w:val="24"/>
        </w:rPr>
      </w:pPr>
      <w:r w:rsidRPr="0017454C">
        <w:rPr>
          <w:rFonts w:ascii="Times New Roman" w:hAnsi="Times New Roman" w:cs="Times New Roman"/>
          <w:sz w:val="24"/>
          <w:szCs w:val="24"/>
        </w:rPr>
        <w:t>Course title:</w:t>
      </w:r>
    </w:p>
    <w:p w:rsidR="0017454C" w:rsidRPr="0017454C" w:rsidRDefault="0017454C" w:rsidP="00296ED3">
      <w:pPr>
        <w:spacing w:line="480" w:lineRule="auto"/>
        <w:jc w:val="center"/>
        <w:rPr>
          <w:rFonts w:ascii="Times New Roman" w:hAnsi="Times New Roman" w:cs="Times New Roman"/>
          <w:sz w:val="24"/>
          <w:szCs w:val="24"/>
        </w:rPr>
      </w:pPr>
      <w:r w:rsidRPr="0017454C">
        <w:rPr>
          <w:rFonts w:ascii="Times New Roman" w:hAnsi="Times New Roman" w:cs="Times New Roman"/>
          <w:sz w:val="24"/>
          <w:szCs w:val="24"/>
        </w:rPr>
        <w:t>Institution:</w:t>
      </w:r>
    </w:p>
    <w:p w:rsidR="0017454C" w:rsidRDefault="0017454C" w:rsidP="00296ED3">
      <w:pPr>
        <w:spacing w:line="480" w:lineRule="auto"/>
        <w:jc w:val="center"/>
        <w:rPr>
          <w:rFonts w:ascii="Times New Roman" w:hAnsi="Times New Roman" w:cs="Times New Roman"/>
          <w:sz w:val="24"/>
          <w:szCs w:val="24"/>
        </w:rPr>
      </w:pPr>
      <w:r w:rsidRPr="0017454C">
        <w:rPr>
          <w:rFonts w:ascii="Times New Roman" w:hAnsi="Times New Roman" w:cs="Times New Roman"/>
          <w:sz w:val="24"/>
          <w:szCs w:val="24"/>
        </w:rPr>
        <w:t>Date:</w:t>
      </w:r>
    </w:p>
    <w:p w:rsidR="00296ED3" w:rsidRDefault="00296ED3">
      <w:pPr>
        <w:rPr>
          <w:rFonts w:ascii="Times New Roman" w:hAnsi="Times New Roman" w:cs="Times New Roman"/>
          <w:sz w:val="24"/>
          <w:szCs w:val="24"/>
        </w:rPr>
      </w:pPr>
      <w:r>
        <w:rPr>
          <w:rFonts w:ascii="Times New Roman" w:hAnsi="Times New Roman" w:cs="Times New Roman"/>
          <w:sz w:val="24"/>
          <w:szCs w:val="24"/>
        </w:rPr>
        <w:br w:type="page"/>
      </w:r>
    </w:p>
    <w:p w:rsidR="005000D0" w:rsidRPr="005000D0" w:rsidRDefault="005000D0" w:rsidP="00E33E0C">
      <w:pPr>
        <w:spacing w:line="480" w:lineRule="auto"/>
        <w:ind w:firstLine="720"/>
        <w:jc w:val="both"/>
        <w:rPr>
          <w:rFonts w:ascii="Times New Roman" w:hAnsi="Times New Roman" w:cs="Times New Roman"/>
          <w:sz w:val="24"/>
          <w:szCs w:val="24"/>
        </w:rPr>
      </w:pPr>
      <w:r w:rsidRPr="005000D0">
        <w:rPr>
          <w:rFonts w:ascii="Times New Roman" w:hAnsi="Times New Roman" w:cs="Times New Roman"/>
          <w:sz w:val="24"/>
          <w:szCs w:val="24"/>
        </w:rPr>
        <w:lastRenderedPageBreak/>
        <w:t>The anti-kickback laws have had costly impacts on various healthcare institutions and employees. Hospitals have paid hefty fines for breach of the requirements, the physicians involved have lost jobs, others served jail terms, and other severe penalties. The Anti-Kickback Statute governs the financial relationship between a hospital and the physicians. Too strong is the regulation imposed by this law that within one transaction, that violates it, an institution or individual could also be violating Stark's law which is very similar to the Anti-Kickback. The federal Anti-Kickback Statute is a healthcare fraud and abuse statute that prohibits the exchange of remuneration which the statute defines broadly as anything of value for referrals for services that are payable by a federal program, which, in the context of healthcare providers, is Medicare</w:t>
      </w:r>
      <w:r w:rsidR="00447ECF">
        <w:rPr>
          <w:rFonts w:ascii="Times New Roman" w:hAnsi="Times New Roman" w:cs="Times New Roman"/>
          <w:sz w:val="24"/>
          <w:szCs w:val="24"/>
        </w:rPr>
        <w:t>(Hawkins,2018)</w:t>
      </w:r>
      <w:r w:rsidRPr="005000D0">
        <w:rPr>
          <w:rFonts w:ascii="Times New Roman" w:hAnsi="Times New Roman" w:cs="Times New Roman"/>
          <w:sz w:val="24"/>
          <w:szCs w:val="24"/>
        </w:rPr>
        <w:t xml:space="preserve">. An Anti-Kickback violation is also expensive. It is a felony offense carrying criminal fines of up to $25,000 per violation, imprisonment for up to five years, and exclusion from government healthcare </w:t>
      </w:r>
      <w:r w:rsidR="005F0D77" w:rsidRPr="005000D0">
        <w:rPr>
          <w:rFonts w:ascii="Times New Roman" w:hAnsi="Times New Roman" w:cs="Times New Roman"/>
          <w:sz w:val="24"/>
          <w:szCs w:val="24"/>
        </w:rPr>
        <w:t>programs</w:t>
      </w:r>
      <w:r w:rsidR="005F0D77">
        <w:rPr>
          <w:rFonts w:ascii="Times New Roman" w:hAnsi="Times New Roman" w:cs="Times New Roman"/>
          <w:sz w:val="24"/>
          <w:szCs w:val="24"/>
        </w:rPr>
        <w:t xml:space="preserve"> (</w:t>
      </w:r>
      <w:r w:rsidR="00E33E0C">
        <w:rPr>
          <w:rFonts w:ascii="Times New Roman" w:hAnsi="Times New Roman" w:cs="Times New Roman"/>
          <w:sz w:val="24"/>
          <w:szCs w:val="24"/>
        </w:rPr>
        <w:t>Patel</w:t>
      </w:r>
      <w:r w:rsidR="005F0D77">
        <w:rPr>
          <w:rFonts w:ascii="Times New Roman" w:hAnsi="Times New Roman" w:cs="Times New Roman"/>
          <w:sz w:val="24"/>
          <w:szCs w:val="24"/>
        </w:rPr>
        <w:t>, 2016</w:t>
      </w:r>
      <w:r w:rsidR="00E33E0C">
        <w:rPr>
          <w:rFonts w:ascii="Times New Roman" w:hAnsi="Times New Roman" w:cs="Times New Roman"/>
          <w:sz w:val="24"/>
          <w:szCs w:val="24"/>
        </w:rPr>
        <w:t>)</w:t>
      </w:r>
      <w:r w:rsidRPr="005000D0">
        <w:rPr>
          <w:rFonts w:ascii="Times New Roman" w:hAnsi="Times New Roman" w:cs="Times New Roman"/>
          <w:sz w:val="24"/>
          <w:szCs w:val="24"/>
        </w:rPr>
        <w:t>.</w:t>
      </w:r>
    </w:p>
    <w:p w:rsidR="005000D0" w:rsidRPr="005000D0" w:rsidRDefault="005000D0" w:rsidP="00E33E0C">
      <w:pPr>
        <w:spacing w:line="480" w:lineRule="auto"/>
        <w:ind w:firstLine="720"/>
        <w:jc w:val="both"/>
        <w:rPr>
          <w:rFonts w:ascii="Times New Roman" w:hAnsi="Times New Roman" w:cs="Times New Roman"/>
          <w:sz w:val="24"/>
          <w:szCs w:val="24"/>
        </w:rPr>
      </w:pPr>
      <w:r w:rsidRPr="005000D0">
        <w:rPr>
          <w:rFonts w:ascii="Times New Roman" w:hAnsi="Times New Roman" w:cs="Times New Roman"/>
          <w:sz w:val="24"/>
          <w:szCs w:val="24"/>
        </w:rPr>
        <w:t>In the Getwell healthcare institution, the protocol is highly observed. A policy or policy reform has to pass through several stakeholders for it to be approved. In some cases, policies have to go through a ballot. The management has to prepare a proposal for the policy to be improved or introduced. Copies are issued to every concerned party in the institution for their review with a set scope of time. Any proposed clauses or omissions are stated as feedback, it is then amended by the administration where possible. For some policies, the administration has to forward the suggested input to the board for the final approval. This are policies that involve funding to enact, policies involving legal issues where legal advice from outside is required or policies that if left for the administration to decide will be considered bias by some parties. In extreme cases, the board propositions go through a vote by the employees if the policy directly affects them.</w:t>
      </w:r>
    </w:p>
    <w:p w:rsidR="005000D0" w:rsidRPr="005000D0" w:rsidRDefault="005000D0" w:rsidP="005000D0">
      <w:pPr>
        <w:spacing w:line="480" w:lineRule="auto"/>
        <w:jc w:val="both"/>
        <w:rPr>
          <w:rFonts w:ascii="Times New Roman" w:hAnsi="Times New Roman" w:cs="Times New Roman"/>
          <w:sz w:val="24"/>
          <w:szCs w:val="24"/>
        </w:rPr>
      </w:pPr>
      <w:r w:rsidRPr="005000D0">
        <w:rPr>
          <w:rFonts w:ascii="Times New Roman" w:hAnsi="Times New Roman" w:cs="Times New Roman"/>
          <w:sz w:val="24"/>
          <w:szCs w:val="24"/>
        </w:rPr>
        <w:lastRenderedPageBreak/>
        <w:t xml:space="preserve"> </w:t>
      </w:r>
      <w:r w:rsidR="00E33E0C">
        <w:rPr>
          <w:rFonts w:ascii="Times New Roman" w:hAnsi="Times New Roman" w:cs="Times New Roman"/>
          <w:sz w:val="24"/>
          <w:szCs w:val="24"/>
        </w:rPr>
        <w:tab/>
      </w:r>
      <w:r w:rsidRPr="005000D0">
        <w:rPr>
          <w:rFonts w:ascii="Times New Roman" w:hAnsi="Times New Roman" w:cs="Times New Roman"/>
          <w:sz w:val="24"/>
          <w:szCs w:val="24"/>
        </w:rPr>
        <w:t>Currently, referrals and remunerations are done manually in the hospital. This exposes the hospital and the physicians to possible violations of the law. Unfortunately, the law does not consider intentions. A policy to adapt analytic metrics whose algorithms will be governed by decisions that have been informed by a healthcare lawyer will be a solution to the problem and will ease the work in the finance department and for the physicians. The policy prohibits all manual reimbursements and referrals. The analytics will be linked to the record system and the physicians will automatically feed data as per a given analytic metric which has details on physicians and the system shall accord the patient the referral and all the procedures conducted on the patient shall be fed into the system which will automatically bill a patient and send the report to the involved parties.</w:t>
      </w:r>
    </w:p>
    <w:p w:rsidR="005000D0" w:rsidRPr="005000D0" w:rsidRDefault="005000D0" w:rsidP="00E33E0C">
      <w:pPr>
        <w:spacing w:line="480" w:lineRule="auto"/>
        <w:ind w:firstLine="720"/>
        <w:jc w:val="both"/>
        <w:rPr>
          <w:rFonts w:ascii="Times New Roman" w:hAnsi="Times New Roman" w:cs="Times New Roman"/>
          <w:sz w:val="24"/>
          <w:szCs w:val="24"/>
        </w:rPr>
      </w:pPr>
      <w:r w:rsidRPr="005000D0">
        <w:rPr>
          <w:rFonts w:ascii="Times New Roman" w:hAnsi="Times New Roman" w:cs="Times New Roman"/>
          <w:sz w:val="24"/>
          <w:szCs w:val="24"/>
        </w:rPr>
        <w:t>This policy will be accompanied by some financial costs and will call for change adoption phase. The policy implementation will require a system upgrade to accommodate the automation of the processes. This means adjustment of the budget to squeeze in the additional costs. There will be temporary changes in the workflow since the process will require members of various departments to assist in algorithm formulation which will mean more work within the institution. Additionally, familiarity brings contempt and people hardly want to change their traditional ways of doing things. This implies that everyone in the hospital has to try to adopt and embrace the change.</w:t>
      </w:r>
    </w:p>
    <w:p w:rsidR="005C77CC" w:rsidRDefault="005000D0" w:rsidP="00E33E0C">
      <w:pPr>
        <w:spacing w:line="480" w:lineRule="auto"/>
        <w:ind w:firstLine="720"/>
        <w:jc w:val="both"/>
        <w:rPr>
          <w:rFonts w:ascii="Times New Roman" w:hAnsi="Times New Roman" w:cs="Times New Roman"/>
          <w:sz w:val="24"/>
          <w:szCs w:val="24"/>
        </w:rPr>
      </w:pPr>
      <w:r w:rsidRPr="005000D0">
        <w:rPr>
          <w:rFonts w:ascii="Times New Roman" w:hAnsi="Times New Roman" w:cs="Times New Roman"/>
          <w:sz w:val="24"/>
          <w:szCs w:val="24"/>
        </w:rPr>
        <w:t xml:space="preserve">The physicians will enjoy the effectiveness of the performance-based compensation differential, a package of the analytics, and shall be linked with the market value of the procedures. The system will have a legally approved relative variable </w:t>
      </w:r>
      <w:r w:rsidR="005F0D77" w:rsidRPr="005000D0">
        <w:rPr>
          <w:rFonts w:ascii="Times New Roman" w:hAnsi="Times New Roman" w:cs="Times New Roman"/>
          <w:sz w:val="24"/>
          <w:szCs w:val="24"/>
        </w:rPr>
        <w:t>unit (</w:t>
      </w:r>
      <w:r w:rsidRPr="005000D0">
        <w:rPr>
          <w:rFonts w:ascii="Times New Roman" w:hAnsi="Times New Roman" w:cs="Times New Roman"/>
          <w:sz w:val="24"/>
          <w:szCs w:val="24"/>
        </w:rPr>
        <w:t xml:space="preserve">RVU), a system that assesses work practice and, malpractice. The RVU is </w:t>
      </w:r>
      <w:bookmarkStart w:id="0" w:name="_GoBack"/>
      <w:bookmarkEnd w:id="0"/>
      <w:r w:rsidRPr="005000D0">
        <w:rPr>
          <w:rFonts w:ascii="Times New Roman" w:hAnsi="Times New Roman" w:cs="Times New Roman"/>
          <w:sz w:val="24"/>
          <w:szCs w:val="24"/>
        </w:rPr>
        <w:t xml:space="preserve">a measurable metric that considers all requirements for a visit to an institution or referral to a physician to be accorded a CPT </w:t>
      </w:r>
      <w:r w:rsidR="005F0D77" w:rsidRPr="005000D0">
        <w:rPr>
          <w:rFonts w:ascii="Times New Roman" w:hAnsi="Times New Roman" w:cs="Times New Roman"/>
          <w:sz w:val="24"/>
          <w:szCs w:val="24"/>
        </w:rPr>
        <w:t>code</w:t>
      </w:r>
      <w:r w:rsidR="005F0D77">
        <w:rPr>
          <w:rFonts w:ascii="Times New Roman" w:hAnsi="Times New Roman" w:cs="Times New Roman"/>
          <w:sz w:val="24"/>
          <w:szCs w:val="24"/>
        </w:rPr>
        <w:t xml:space="preserve"> (</w:t>
      </w:r>
      <w:r w:rsidR="00551F8B">
        <w:rPr>
          <w:rFonts w:ascii="Times New Roman" w:hAnsi="Times New Roman" w:cs="Times New Roman"/>
          <w:sz w:val="24"/>
          <w:szCs w:val="24"/>
        </w:rPr>
        <w:t>Zwierlein</w:t>
      </w:r>
      <w:r w:rsidR="005F0D77">
        <w:rPr>
          <w:rFonts w:ascii="Times New Roman" w:hAnsi="Times New Roman" w:cs="Times New Roman"/>
          <w:sz w:val="24"/>
          <w:szCs w:val="24"/>
        </w:rPr>
        <w:t>, 2020</w:t>
      </w:r>
      <w:r w:rsidR="005F0D77">
        <w:rPr>
          <w:rFonts w:ascii="Times New Roman" w:hAnsi="Times New Roman" w:cs="Times New Roman"/>
          <w:sz w:val="24"/>
          <w:szCs w:val="24"/>
        </w:rPr>
        <w:softHyphen/>
      </w:r>
      <w:r w:rsidR="00551F8B">
        <w:rPr>
          <w:rFonts w:ascii="Times New Roman" w:hAnsi="Times New Roman" w:cs="Times New Roman"/>
          <w:sz w:val="24"/>
          <w:szCs w:val="24"/>
        </w:rPr>
        <w:t>)</w:t>
      </w:r>
      <w:r w:rsidRPr="005000D0">
        <w:rPr>
          <w:rFonts w:ascii="Times New Roman" w:hAnsi="Times New Roman" w:cs="Times New Roman"/>
          <w:sz w:val="24"/>
          <w:szCs w:val="24"/>
        </w:rPr>
        <w:t xml:space="preserve">. The </w:t>
      </w:r>
      <w:r w:rsidRPr="005000D0">
        <w:rPr>
          <w:rFonts w:ascii="Times New Roman" w:hAnsi="Times New Roman" w:cs="Times New Roman"/>
          <w:sz w:val="24"/>
          <w:szCs w:val="24"/>
        </w:rPr>
        <w:lastRenderedPageBreak/>
        <w:t>billing system will rely strictly on the services or CPT codes and the fair market cost for individual RVUs. To the institution, the billing will be easier, the system will be more effective with less human input. Further, the remuneration stalemates on who gets which pay, should it be on work done or seniority will be resolved for good. Additionally, the bonus allocation will also be made easier. The adoption of the system will enable the institution and the physicians to comply with the anti-kickback law.</w:t>
      </w:r>
    </w:p>
    <w:p w:rsidR="00551F8B" w:rsidRDefault="00551F8B">
      <w:pPr>
        <w:rPr>
          <w:rFonts w:ascii="Times New Roman" w:hAnsi="Times New Roman" w:cs="Times New Roman"/>
          <w:sz w:val="24"/>
          <w:szCs w:val="24"/>
        </w:rPr>
      </w:pPr>
      <w:r>
        <w:rPr>
          <w:rFonts w:ascii="Times New Roman" w:hAnsi="Times New Roman" w:cs="Times New Roman"/>
          <w:sz w:val="24"/>
          <w:szCs w:val="24"/>
        </w:rPr>
        <w:br w:type="page"/>
      </w:r>
    </w:p>
    <w:p w:rsidR="00E33E0C" w:rsidRDefault="00E33E0C" w:rsidP="00551F8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33E0C" w:rsidRDefault="00E33E0C" w:rsidP="005F0D77">
      <w:pPr>
        <w:spacing w:line="480" w:lineRule="auto"/>
        <w:ind w:left="720" w:hanging="720"/>
        <w:jc w:val="both"/>
        <w:rPr>
          <w:rFonts w:ascii="Times New Roman" w:hAnsi="Times New Roman" w:cs="Times New Roman"/>
          <w:sz w:val="24"/>
          <w:szCs w:val="24"/>
        </w:rPr>
      </w:pPr>
      <w:r w:rsidRPr="00E33E0C">
        <w:rPr>
          <w:rFonts w:ascii="Times New Roman" w:hAnsi="Times New Roman" w:cs="Times New Roman"/>
          <w:sz w:val="24"/>
          <w:szCs w:val="24"/>
        </w:rPr>
        <w:t>Patel, K. I. R. A. N., &amp; Sherer, J. D. (2016). DOJ targets individuals for violations of False Claims Act and Anti-Kickback Statute. Journal of Health Care Compliance, 18(4), 53-56.</w:t>
      </w:r>
    </w:p>
    <w:p w:rsidR="00E33E0C" w:rsidRDefault="00E33E0C" w:rsidP="005F0D77">
      <w:pPr>
        <w:spacing w:line="480" w:lineRule="auto"/>
        <w:ind w:left="720" w:hanging="720"/>
        <w:jc w:val="both"/>
        <w:rPr>
          <w:rFonts w:ascii="Times New Roman" w:hAnsi="Times New Roman" w:cs="Times New Roman"/>
          <w:sz w:val="24"/>
          <w:szCs w:val="24"/>
        </w:rPr>
      </w:pPr>
      <w:r w:rsidRPr="00E33E0C">
        <w:rPr>
          <w:rFonts w:ascii="Times New Roman" w:hAnsi="Times New Roman" w:cs="Times New Roman"/>
          <w:sz w:val="24"/>
          <w:szCs w:val="24"/>
        </w:rPr>
        <w:t>Hawkins, D. (2018). Medicare Anti-Kickback Violation. Wisconsin Law Journal.</w:t>
      </w:r>
    </w:p>
    <w:p w:rsidR="00551F8B" w:rsidRPr="005000D0" w:rsidRDefault="00551F8B" w:rsidP="005F0D77">
      <w:pPr>
        <w:spacing w:line="480" w:lineRule="auto"/>
        <w:ind w:left="720" w:hanging="720"/>
        <w:jc w:val="both"/>
        <w:rPr>
          <w:rFonts w:ascii="Times New Roman" w:hAnsi="Times New Roman" w:cs="Times New Roman"/>
          <w:sz w:val="24"/>
          <w:szCs w:val="24"/>
        </w:rPr>
      </w:pPr>
      <w:r w:rsidRPr="00551F8B">
        <w:rPr>
          <w:rFonts w:ascii="Times New Roman" w:hAnsi="Times New Roman" w:cs="Times New Roman"/>
          <w:sz w:val="24"/>
          <w:szCs w:val="24"/>
        </w:rPr>
        <w:t>Zwierlein, R., Portenhauser, F., Flägel, K., &amp; Steinhäuser, J. (2020). Determinants of Setting up a General Practice-a Qualitative Study. Gesundheitswesen (Bundesverband der Arzte des Offentlichen Gesundheitsdienstes (Germany)</w:t>
      </w:r>
    </w:p>
    <w:sectPr w:rsidR="00551F8B" w:rsidRPr="005000D0" w:rsidSect="002C0A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18B0" w:rsidRDefault="008718B0" w:rsidP="002C0A9A">
      <w:pPr>
        <w:spacing w:after="0" w:line="240" w:lineRule="auto"/>
      </w:pPr>
      <w:r>
        <w:separator/>
      </w:r>
    </w:p>
  </w:endnote>
  <w:endnote w:type="continuationSeparator" w:id="0">
    <w:p w:rsidR="008718B0" w:rsidRDefault="008718B0" w:rsidP="002C0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18B0" w:rsidRDefault="008718B0" w:rsidP="002C0A9A">
      <w:pPr>
        <w:spacing w:after="0" w:line="240" w:lineRule="auto"/>
      </w:pPr>
      <w:r>
        <w:separator/>
      </w:r>
    </w:p>
  </w:footnote>
  <w:footnote w:type="continuationSeparator" w:id="0">
    <w:p w:rsidR="008718B0" w:rsidRDefault="008718B0" w:rsidP="002C0A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2252878"/>
      <w:docPartObj>
        <w:docPartGallery w:val="Page Numbers (Top of Page)"/>
        <w:docPartUnique/>
      </w:docPartObj>
    </w:sdtPr>
    <w:sdtEndPr>
      <w:rPr>
        <w:noProof/>
      </w:rPr>
    </w:sdtEndPr>
    <w:sdtContent>
      <w:p w:rsidR="002C0A9A" w:rsidRDefault="002C0A9A">
        <w:pPr>
          <w:pStyle w:val="Header"/>
          <w:jc w:val="right"/>
        </w:pPr>
        <w:r w:rsidRPr="002C0A9A">
          <w:rPr>
            <w:rFonts w:ascii="Times New Roman" w:hAnsi="Times New Roman" w:cs="Times New Roman"/>
            <w:sz w:val="24"/>
            <w:szCs w:val="24"/>
          </w:rPr>
          <w:t>HEALTHCARE</w:t>
        </w:r>
        <w:r>
          <w:t xml:space="preserve">                                                                                                                                                         </w:t>
        </w:r>
        <w:r>
          <w:fldChar w:fldCharType="begin"/>
        </w:r>
        <w:r>
          <w:instrText xml:space="preserve"> PAGE   \* MERGEFORMAT </w:instrText>
        </w:r>
        <w:r>
          <w:fldChar w:fldCharType="separate"/>
        </w:r>
        <w:r w:rsidR="005F0D77">
          <w:rPr>
            <w:noProof/>
          </w:rPr>
          <w:t>5</w:t>
        </w:r>
        <w:r>
          <w:rPr>
            <w:noProof/>
          </w:rPr>
          <w:fldChar w:fldCharType="end"/>
        </w:r>
      </w:p>
    </w:sdtContent>
  </w:sdt>
  <w:p w:rsidR="002C0A9A" w:rsidRDefault="002C0A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A9A" w:rsidRPr="002C0A9A" w:rsidRDefault="002C0A9A">
    <w:pPr>
      <w:pStyle w:val="Header"/>
      <w:rPr>
        <w:rFonts w:ascii="Times New Roman" w:hAnsi="Times New Roman" w:cs="Times New Roman"/>
        <w:sz w:val="24"/>
        <w:szCs w:val="24"/>
      </w:rPr>
    </w:pPr>
    <w:r w:rsidRPr="002C0A9A">
      <w:rPr>
        <w:rFonts w:ascii="Times New Roman" w:hAnsi="Times New Roman" w:cs="Times New Roman"/>
        <w:sz w:val="24"/>
        <w:szCs w:val="24"/>
      </w:rPr>
      <w:t xml:space="preserve">Running head: POLICY REFORMS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Q3NLU0NDU0MDQxtjRS0lEKTi0uzszPAykwrAUAW5ETCiwAAAA="/>
  </w:docVars>
  <w:rsids>
    <w:rsidRoot w:val="003800EE"/>
    <w:rsid w:val="001637E0"/>
    <w:rsid w:val="0017454C"/>
    <w:rsid w:val="002457F2"/>
    <w:rsid w:val="00296ED3"/>
    <w:rsid w:val="002C0A9A"/>
    <w:rsid w:val="003800EE"/>
    <w:rsid w:val="00447ECF"/>
    <w:rsid w:val="004B6BB0"/>
    <w:rsid w:val="005000D0"/>
    <w:rsid w:val="00551F8B"/>
    <w:rsid w:val="005C77CC"/>
    <w:rsid w:val="005F0D77"/>
    <w:rsid w:val="006D2028"/>
    <w:rsid w:val="007945A8"/>
    <w:rsid w:val="007E5A03"/>
    <w:rsid w:val="008718B0"/>
    <w:rsid w:val="009A2C95"/>
    <w:rsid w:val="00AE1613"/>
    <w:rsid w:val="00D3100C"/>
    <w:rsid w:val="00DF4693"/>
    <w:rsid w:val="00E33E0C"/>
    <w:rsid w:val="00E72B61"/>
    <w:rsid w:val="00F23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0BF581-0F13-4F1B-8F36-CE4C4E378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A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A9A"/>
  </w:style>
  <w:style w:type="paragraph" w:styleId="Footer">
    <w:name w:val="footer"/>
    <w:basedOn w:val="Normal"/>
    <w:link w:val="FooterChar"/>
    <w:uiPriority w:val="99"/>
    <w:unhideWhenUsed/>
    <w:rsid w:val="002C0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856FF-2376-42BF-87A2-11ECE1C2B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5</Pages>
  <Words>773</Words>
  <Characters>4408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10</cp:revision>
  <dcterms:created xsi:type="dcterms:W3CDTF">2020-08-12T14:25:00Z</dcterms:created>
  <dcterms:modified xsi:type="dcterms:W3CDTF">2020-08-12T19:25:00Z</dcterms:modified>
</cp:coreProperties>
</file>