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22561" w:rsidRDefault="00F22561"/>
    <w:p w:rsidR="00F22561" w:rsidRDefault="00F22561"/>
    <w:p w:rsidR="00F22561" w:rsidRDefault="00F22561"/>
    <w:p w:rsidR="00F22561" w:rsidRDefault="00F22561"/>
    <w:p w:rsidR="00F22561" w:rsidRDefault="00F22561"/>
    <w:p w:rsidR="00973F0C" w:rsidRDefault="00475D85" w:rsidP="00973F0C">
      <w:pPr>
        <w:spacing w:line="480" w:lineRule="auto"/>
        <w:jc w:val="center"/>
      </w:pPr>
      <w:r>
        <w:tab/>
      </w:r>
    </w:p>
    <w:p w:rsidR="00973F0C" w:rsidRDefault="00973F0C" w:rsidP="00973F0C">
      <w:pPr>
        <w:spacing w:line="480" w:lineRule="auto"/>
        <w:jc w:val="center"/>
      </w:pPr>
    </w:p>
    <w:p w:rsidR="00973F0C" w:rsidRDefault="00973F0C" w:rsidP="00973F0C">
      <w:pPr>
        <w:spacing w:line="480" w:lineRule="auto"/>
        <w:jc w:val="center"/>
      </w:pPr>
    </w:p>
    <w:p w:rsidR="00973F0C" w:rsidRDefault="00973F0C" w:rsidP="00973F0C">
      <w:pPr>
        <w:spacing w:line="480" w:lineRule="auto"/>
        <w:jc w:val="center"/>
      </w:pPr>
    </w:p>
    <w:p w:rsidR="00F22561" w:rsidRPr="00973F0C" w:rsidRDefault="00475D85" w:rsidP="00973F0C">
      <w:pPr>
        <w:spacing w:line="480" w:lineRule="auto"/>
        <w:jc w:val="center"/>
        <w:rPr>
          <w:rFonts w:ascii="Times New Roman" w:hAnsi="Times New Roman" w:cs="Times New Roman"/>
          <w:bCs/>
          <w:sz w:val="24"/>
          <w:szCs w:val="24"/>
          <w:shd w:val="clear" w:color="auto" w:fill="FFFFFF"/>
        </w:rPr>
      </w:pPr>
      <w:r w:rsidRPr="00973F0C">
        <w:rPr>
          <w:rFonts w:ascii="Times New Roman" w:hAnsi="Times New Roman" w:cs="Times New Roman"/>
          <w:bCs/>
          <w:sz w:val="24"/>
          <w:szCs w:val="24"/>
          <w:shd w:val="clear" w:color="auto" w:fill="FFFFFF"/>
        </w:rPr>
        <w:t>The Mexican American Struggle For Equal Education Opportunity in Mendez: Helping to Pave the Way for Brown</w:t>
      </w:r>
      <w:r w:rsidR="00617513" w:rsidRPr="00973F0C">
        <w:rPr>
          <w:rFonts w:ascii="Times New Roman" w:hAnsi="Times New Roman" w:cs="Times New Roman"/>
          <w:bCs/>
          <w:sz w:val="24"/>
          <w:szCs w:val="24"/>
          <w:shd w:val="clear" w:color="auto" w:fill="FFFFFF"/>
        </w:rPr>
        <w:t xml:space="preserve"> v Board of Education.</w:t>
      </w:r>
    </w:p>
    <w:p w:rsidR="00F22561" w:rsidRPr="00973F0C" w:rsidRDefault="00475D85" w:rsidP="00973F0C">
      <w:pPr>
        <w:spacing w:line="480" w:lineRule="auto"/>
        <w:jc w:val="center"/>
        <w:rPr>
          <w:rFonts w:ascii="Times New Roman" w:hAnsi="Times New Roman" w:cs="Times New Roman"/>
          <w:bCs/>
          <w:sz w:val="24"/>
          <w:szCs w:val="24"/>
          <w:shd w:val="clear" w:color="auto" w:fill="FFFFFF"/>
        </w:rPr>
      </w:pPr>
      <w:r w:rsidRPr="00973F0C">
        <w:rPr>
          <w:rFonts w:ascii="Times New Roman" w:hAnsi="Times New Roman" w:cs="Times New Roman"/>
          <w:bCs/>
          <w:sz w:val="24"/>
          <w:szCs w:val="24"/>
          <w:shd w:val="clear" w:color="auto" w:fill="FFFFFF"/>
        </w:rPr>
        <w:t>Institutional Affiliation</w:t>
      </w:r>
    </w:p>
    <w:p w:rsidR="00F22561" w:rsidRPr="00973F0C" w:rsidRDefault="00475D85" w:rsidP="00973F0C">
      <w:pPr>
        <w:spacing w:line="480" w:lineRule="auto"/>
        <w:jc w:val="center"/>
        <w:rPr>
          <w:rFonts w:ascii="Times New Roman" w:hAnsi="Times New Roman" w:cs="Times New Roman"/>
          <w:bCs/>
          <w:sz w:val="24"/>
          <w:szCs w:val="24"/>
          <w:shd w:val="clear" w:color="auto" w:fill="FFFFFF"/>
        </w:rPr>
      </w:pPr>
      <w:r w:rsidRPr="00973F0C">
        <w:rPr>
          <w:rFonts w:ascii="Times New Roman" w:hAnsi="Times New Roman" w:cs="Times New Roman"/>
          <w:bCs/>
          <w:sz w:val="24"/>
          <w:szCs w:val="24"/>
          <w:shd w:val="clear" w:color="auto" w:fill="FFFFFF"/>
        </w:rPr>
        <w:t>Course Number</w:t>
      </w:r>
    </w:p>
    <w:p w:rsidR="00F22561" w:rsidRPr="00973F0C" w:rsidRDefault="00475D85" w:rsidP="00973F0C">
      <w:pPr>
        <w:spacing w:line="480" w:lineRule="auto"/>
        <w:jc w:val="center"/>
        <w:rPr>
          <w:rFonts w:ascii="Times New Roman" w:hAnsi="Times New Roman" w:cs="Times New Roman"/>
          <w:bCs/>
          <w:sz w:val="24"/>
          <w:szCs w:val="24"/>
          <w:shd w:val="clear" w:color="auto" w:fill="FFFFFF"/>
        </w:rPr>
      </w:pPr>
      <w:r w:rsidRPr="00973F0C">
        <w:rPr>
          <w:rFonts w:ascii="Times New Roman" w:hAnsi="Times New Roman" w:cs="Times New Roman"/>
          <w:bCs/>
          <w:sz w:val="24"/>
          <w:szCs w:val="24"/>
          <w:shd w:val="clear" w:color="auto" w:fill="FFFFFF"/>
        </w:rPr>
        <w:t>Course Name</w:t>
      </w:r>
    </w:p>
    <w:p w:rsidR="00F22561" w:rsidRPr="00973F0C" w:rsidRDefault="00475D85" w:rsidP="00973F0C">
      <w:pPr>
        <w:spacing w:line="480" w:lineRule="auto"/>
        <w:jc w:val="center"/>
        <w:rPr>
          <w:rFonts w:ascii="Times New Roman" w:hAnsi="Times New Roman" w:cs="Times New Roman"/>
          <w:bCs/>
          <w:sz w:val="24"/>
          <w:szCs w:val="24"/>
          <w:shd w:val="clear" w:color="auto" w:fill="FFFFFF"/>
        </w:rPr>
      </w:pPr>
      <w:r w:rsidRPr="00973F0C">
        <w:rPr>
          <w:rFonts w:ascii="Times New Roman" w:hAnsi="Times New Roman" w:cs="Times New Roman"/>
          <w:bCs/>
          <w:sz w:val="24"/>
          <w:szCs w:val="24"/>
          <w:shd w:val="clear" w:color="auto" w:fill="FFFFFF"/>
        </w:rPr>
        <w:t>Due Date</w:t>
      </w:r>
    </w:p>
    <w:p w:rsidR="00F22561" w:rsidRPr="00973F0C" w:rsidRDefault="00F22561" w:rsidP="00973F0C">
      <w:pPr>
        <w:tabs>
          <w:tab w:val="left" w:pos="1725"/>
        </w:tabs>
        <w:spacing w:line="480" w:lineRule="auto"/>
        <w:rPr>
          <w:rFonts w:ascii="Times New Roman" w:hAnsi="Times New Roman" w:cs="Times New Roman"/>
          <w:sz w:val="24"/>
          <w:szCs w:val="24"/>
        </w:rPr>
      </w:pPr>
    </w:p>
    <w:p w:rsidR="00F22561" w:rsidRPr="00973F0C" w:rsidRDefault="00F22561" w:rsidP="00973F0C">
      <w:pPr>
        <w:spacing w:line="480" w:lineRule="auto"/>
        <w:rPr>
          <w:rFonts w:ascii="Times New Roman" w:hAnsi="Times New Roman" w:cs="Times New Roman"/>
          <w:sz w:val="24"/>
          <w:szCs w:val="24"/>
        </w:rPr>
      </w:pPr>
    </w:p>
    <w:p w:rsidR="00F22561" w:rsidRPr="00973F0C" w:rsidRDefault="00F22561" w:rsidP="00973F0C">
      <w:pPr>
        <w:spacing w:line="480" w:lineRule="auto"/>
        <w:rPr>
          <w:rFonts w:ascii="Times New Roman" w:hAnsi="Times New Roman" w:cs="Times New Roman"/>
          <w:sz w:val="24"/>
          <w:szCs w:val="24"/>
        </w:rPr>
      </w:pPr>
    </w:p>
    <w:p w:rsidR="00F22561" w:rsidRPr="00973F0C" w:rsidRDefault="00F22561" w:rsidP="00973F0C">
      <w:pPr>
        <w:spacing w:line="480" w:lineRule="auto"/>
        <w:rPr>
          <w:rFonts w:ascii="Times New Roman" w:hAnsi="Times New Roman" w:cs="Times New Roman"/>
          <w:sz w:val="24"/>
          <w:szCs w:val="24"/>
        </w:rPr>
      </w:pPr>
    </w:p>
    <w:p w:rsidR="00F22561" w:rsidRPr="00973F0C" w:rsidRDefault="00F22561" w:rsidP="00973F0C">
      <w:pPr>
        <w:spacing w:line="480" w:lineRule="auto"/>
        <w:rPr>
          <w:rFonts w:ascii="Times New Roman" w:hAnsi="Times New Roman" w:cs="Times New Roman"/>
          <w:sz w:val="24"/>
          <w:szCs w:val="24"/>
        </w:rPr>
      </w:pPr>
    </w:p>
    <w:p w:rsidR="00973F0C" w:rsidRDefault="00475D85" w:rsidP="000814BD">
      <w:pPr>
        <w:spacing w:line="480" w:lineRule="auto"/>
        <w:jc w:val="center"/>
        <w:rPr>
          <w:rFonts w:ascii="Times New Roman" w:hAnsi="Times New Roman" w:cs="Times New Roman"/>
          <w:bCs/>
          <w:sz w:val="24"/>
          <w:szCs w:val="24"/>
          <w:shd w:val="clear" w:color="auto" w:fill="FFFFFF"/>
        </w:rPr>
      </w:pPr>
      <w:r w:rsidRPr="00973F0C">
        <w:rPr>
          <w:rFonts w:ascii="Times New Roman" w:hAnsi="Times New Roman" w:cs="Times New Roman"/>
          <w:bCs/>
          <w:sz w:val="24"/>
          <w:szCs w:val="24"/>
          <w:shd w:val="clear" w:color="auto" w:fill="FFFFFF"/>
        </w:rPr>
        <w:t xml:space="preserve">The Mexican American Struggle </w:t>
      </w:r>
      <w:r w:rsidR="00973F0C" w:rsidRPr="00973F0C">
        <w:rPr>
          <w:rFonts w:ascii="Times New Roman" w:hAnsi="Times New Roman" w:cs="Times New Roman"/>
          <w:bCs/>
          <w:sz w:val="24"/>
          <w:szCs w:val="24"/>
          <w:shd w:val="clear" w:color="auto" w:fill="FFFFFF"/>
        </w:rPr>
        <w:t>for</w:t>
      </w:r>
      <w:r w:rsidRPr="00973F0C">
        <w:rPr>
          <w:rFonts w:ascii="Times New Roman" w:hAnsi="Times New Roman" w:cs="Times New Roman"/>
          <w:bCs/>
          <w:sz w:val="24"/>
          <w:szCs w:val="24"/>
          <w:shd w:val="clear" w:color="auto" w:fill="FFFFFF"/>
        </w:rPr>
        <w:t xml:space="preserve"> Equal Education Opportunity in Mendez: Helping to Pave the Way for Brown v Board of Education.</w:t>
      </w:r>
    </w:p>
    <w:p w:rsidR="00EA3F46" w:rsidRPr="00973F0C" w:rsidRDefault="00475D85" w:rsidP="00973F0C">
      <w:pPr>
        <w:spacing w:line="480" w:lineRule="auto"/>
        <w:ind w:firstLine="720"/>
        <w:rPr>
          <w:rFonts w:ascii="Times New Roman" w:hAnsi="Times New Roman" w:cs="Times New Roman"/>
          <w:bCs/>
          <w:sz w:val="24"/>
          <w:szCs w:val="24"/>
          <w:shd w:val="clear" w:color="auto" w:fill="FFFFFF"/>
        </w:rPr>
      </w:pPr>
      <w:r w:rsidRPr="00973F0C">
        <w:rPr>
          <w:rFonts w:ascii="Times New Roman" w:hAnsi="Times New Roman" w:cs="Times New Roman"/>
          <w:sz w:val="24"/>
          <w:szCs w:val="24"/>
        </w:rPr>
        <w:t xml:space="preserve">Only a few individuals in the </w:t>
      </w:r>
      <w:r w:rsidR="00973F0C" w:rsidRPr="00973F0C">
        <w:rPr>
          <w:rFonts w:ascii="Times New Roman" w:hAnsi="Times New Roman" w:cs="Times New Roman"/>
          <w:sz w:val="24"/>
          <w:szCs w:val="24"/>
        </w:rPr>
        <w:t>United States</w:t>
      </w:r>
      <w:r w:rsidRPr="00973F0C">
        <w:rPr>
          <w:rFonts w:ascii="Times New Roman" w:hAnsi="Times New Roman" w:cs="Times New Roman"/>
          <w:sz w:val="24"/>
          <w:szCs w:val="24"/>
        </w:rPr>
        <w:t xml:space="preserve"> know the primary role in which the Mexican Americans have participated in most of the vital legal fight concerning Institution desegregation. One of them is Mendez </w:t>
      </w:r>
      <w:r w:rsidR="00973F0C" w:rsidRPr="00973F0C">
        <w:rPr>
          <w:rFonts w:ascii="Times New Roman" w:hAnsi="Times New Roman" w:cs="Times New Roman"/>
          <w:sz w:val="24"/>
          <w:szCs w:val="24"/>
        </w:rPr>
        <w:t>Westminster</w:t>
      </w:r>
      <w:r w:rsidRPr="00973F0C">
        <w:rPr>
          <w:rFonts w:ascii="Times New Roman" w:hAnsi="Times New Roman" w:cs="Times New Roman"/>
          <w:sz w:val="24"/>
          <w:szCs w:val="24"/>
        </w:rPr>
        <w:t xml:space="preserve">, who filed a lawsuit and his case was the first fruitful constitutional contest to segregation. Though the Mendez case was not tempted to the </w:t>
      </w:r>
      <w:r w:rsidR="00973F0C" w:rsidRPr="00973F0C">
        <w:rPr>
          <w:rFonts w:ascii="Times New Roman" w:hAnsi="Times New Roman" w:cs="Times New Roman"/>
          <w:sz w:val="24"/>
          <w:szCs w:val="24"/>
        </w:rPr>
        <w:t>United States</w:t>
      </w:r>
      <w:r w:rsidRPr="00973F0C">
        <w:rPr>
          <w:rFonts w:ascii="Times New Roman" w:hAnsi="Times New Roman" w:cs="Times New Roman"/>
          <w:sz w:val="24"/>
          <w:szCs w:val="24"/>
        </w:rPr>
        <w:t xml:space="preserve">' </w:t>
      </w:r>
      <w:r w:rsidR="00973F0C" w:rsidRPr="00973F0C">
        <w:rPr>
          <w:rFonts w:ascii="Times New Roman" w:hAnsi="Times New Roman" w:cs="Times New Roman"/>
          <w:sz w:val="24"/>
          <w:szCs w:val="24"/>
        </w:rPr>
        <w:t>Supreme Court</w:t>
      </w:r>
      <w:r w:rsidRPr="00973F0C">
        <w:rPr>
          <w:rFonts w:ascii="Times New Roman" w:hAnsi="Times New Roman" w:cs="Times New Roman"/>
          <w:sz w:val="24"/>
          <w:szCs w:val="24"/>
        </w:rPr>
        <w:t xml:space="preserve">, many legal specialists appreciated it as a case </w:t>
      </w:r>
      <w:r w:rsidR="00D52D3E" w:rsidRPr="00973F0C">
        <w:rPr>
          <w:rFonts w:ascii="Times New Roman" w:hAnsi="Times New Roman" w:cs="Times New Roman"/>
          <w:sz w:val="24"/>
          <w:szCs w:val="24"/>
        </w:rPr>
        <w:t xml:space="preserve">that would have achieved what was done eight years later by Brown. Brown did a setback of the 1896 decision by the High Court in Ferguson v </w:t>
      </w:r>
      <w:r w:rsidR="00973F0C" w:rsidRPr="00973F0C">
        <w:rPr>
          <w:rFonts w:ascii="Times New Roman" w:hAnsi="Times New Roman" w:cs="Times New Roman"/>
          <w:sz w:val="24"/>
          <w:szCs w:val="24"/>
        </w:rPr>
        <w:t>Plessy that</w:t>
      </w:r>
      <w:r w:rsidR="00D52D3E" w:rsidRPr="00973F0C">
        <w:rPr>
          <w:rFonts w:ascii="Times New Roman" w:hAnsi="Times New Roman" w:cs="Times New Roman"/>
          <w:sz w:val="24"/>
          <w:szCs w:val="24"/>
        </w:rPr>
        <w:t xml:space="preserve"> had endorsed legal segregation at almost 60 years. Despite the fact that Mendes did not mention the setback of Plessy, it laid a vital foundation for extreme cases that could do that.</w:t>
      </w:r>
    </w:p>
    <w:p w:rsidR="003B7401" w:rsidRPr="00973F0C" w:rsidRDefault="00475D85" w:rsidP="00973F0C">
      <w:pPr>
        <w:spacing w:line="480" w:lineRule="auto"/>
        <w:ind w:firstLine="720"/>
        <w:rPr>
          <w:rFonts w:ascii="Times New Roman" w:hAnsi="Times New Roman" w:cs="Times New Roman"/>
          <w:sz w:val="24"/>
          <w:szCs w:val="24"/>
        </w:rPr>
      </w:pPr>
      <w:r w:rsidRPr="00973F0C">
        <w:rPr>
          <w:rFonts w:ascii="Times New Roman" w:hAnsi="Times New Roman" w:cs="Times New Roman"/>
          <w:sz w:val="24"/>
          <w:szCs w:val="24"/>
        </w:rPr>
        <w:t xml:space="preserve">In this Article, Richard Valencia uses the theory of critical race to </w:t>
      </w:r>
      <w:r w:rsidR="00EE2937" w:rsidRPr="00973F0C">
        <w:rPr>
          <w:rFonts w:ascii="Times New Roman" w:hAnsi="Times New Roman" w:cs="Times New Roman"/>
          <w:sz w:val="24"/>
          <w:szCs w:val="24"/>
        </w:rPr>
        <w:t xml:space="preserve">scrutinize how Brown and Mendez had a sturdy connection and how Mendez functioned as a herald for Brown. The relation can be apprehended in two techniques. First, Mendez was a centralized case of the Fourteenth Amendment founded in a theoretic dispute referred to as "integration theory," which stresses the damaging impacts of isolation on students who are Mexican American. Secondly, Mendes' advocates </w:t>
      </w:r>
      <w:r w:rsidR="00973F0C" w:rsidRPr="00973F0C">
        <w:rPr>
          <w:rFonts w:ascii="Times New Roman" w:hAnsi="Times New Roman" w:cs="Times New Roman"/>
          <w:sz w:val="24"/>
          <w:szCs w:val="24"/>
        </w:rPr>
        <w:t>costumed</w:t>
      </w:r>
      <w:r w:rsidR="00EE2937" w:rsidRPr="00973F0C">
        <w:rPr>
          <w:rFonts w:ascii="Times New Roman" w:hAnsi="Times New Roman" w:cs="Times New Roman"/>
          <w:sz w:val="24"/>
          <w:szCs w:val="24"/>
        </w:rPr>
        <w:t xml:space="preserve"> the testimony of social science professionals to make this claim of the Fourteenth Amendment.</w:t>
      </w:r>
      <w:r w:rsidR="00C528ED" w:rsidRPr="00973F0C">
        <w:rPr>
          <w:rFonts w:ascii="Times New Roman" w:hAnsi="Times New Roman" w:cs="Times New Roman"/>
          <w:sz w:val="24"/>
          <w:szCs w:val="24"/>
        </w:rPr>
        <w:t xml:space="preserve"> The testimony, founded in the same theoretic arguments, verified to be very convenient in Brown. Therefore, it is significant to recall the Mendez case and the part played by Mexican Americans i</w:t>
      </w:r>
      <w:r w:rsidR="00EA3F46" w:rsidRPr="00973F0C">
        <w:rPr>
          <w:rFonts w:ascii="Times New Roman" w:hAnsi="Times New Roman" w:cs="Times New Roman"/>
          <w:sz w:val="24"/>
          <w:szCs w:val="24"/>
        </w:rPr>
        <w:t xml:space="preserve">n the struggle for equality of </w:t>
      </w:r>
      <w:r w:rsidR="00C528ED" w:rsidRPr="00973F0C">
        <w:rPr>
          <w:rFonts w:ascii="Times New Roman" w:hAnsi="Times New Roman" w:cs="Times New Roman"/>
          <w:sz w:val="24"/>
          <w:szCs w:val="24"/>
        </w:rPr>
        <w:t xml:space="preserve">Educational prospects in the United States and recognize how they aided to make way for Brown against the Education board of </w:t>
      </w:r>
      <w:r w:rsidR="00973F0C" w:rsidRPr="00973F0C">
        <w:rPr>
          <w:rFonts w:ascii="Times New Roman" w:hAnsi="Times New Roman" w:cs="Times New Roman"/>
          <w:sz w:val="24"/>
          <w:szCs w:val="24"/>
        </w:rPr>
        <w:t>Topeka (</w:t>
      </w:r>
      <w:r w:rsidR="00EA3F46" w:rsidRPr="00973F0C">
        <w:rPr>
          <w:rFonts w:ascii="Times New Roman" w:hAnsi="Times New Roman" w:cs="Times New Roman"/>
          <w:sz w:val="24"/>
          <w:szCs w:val="24"/>
        </w:rPr>
        <w:t>Valencia,2005)</w:t>
      </w:r>
      <w:r w:rsidR="00C528ED" w:rsidRPr="00973F0C">
        <w:rPr>
          <w:rFonts w:ascii="Times New Roman" w:hAnsi="Times New Roman" w:cs="Times New Roman"/>
          <w:sz w:val="24"/>
          <w:szCs w:val="24"/>
        </w:rPr>
        <w:t>.</w:t>
      </w:r>
    </w:p>
    <w:p w:rsidR="00EA3F46" w:rsidRPr="00973F0C" w:rsidRDefault="00475D85" w:rsidP="00973F0C">
      <w:pPr>
        <w:spacing w:line="480" w:lineRule="auto"/>
        <w:ind w:firstLine="720"/>
        <w:jc w:val="both"/>
        <w:rPr>
          <w:rFonts w:ascii="Times New Roman" w:hAnsi="Times New Roman" w:cs="Times New Roman"/>
          <w:sz w:val="24"/>
          <w:szCs w:val="24"/>
        </w:rPr>
      </w:pPr>
      <w:r w:rsidRPr="00973F0C">
        <w:rPr>
          <w:rFonts w:ascii="Times New Roman" w:hAnsi="Times New Roman" w:cs="Times New Roman"/>
          <w:sz w:val="24"/>
          <w:szCs w:val="24"/>
        </w:rPr>
        <w:t>So far, I understand that the critical race theory (CRT</w:t>
      </w:r>
      <w:r w:rsidR="00973F0C" w:rsidRPr="00973F0C">
        <w:rPr>
          <w:rFonts w:ascii="Times New Roman" w:hAnsi="Times New Roman" w:cs="Times New Roman"/>
          <w:sz w:val="24"/>
          <w:szCs w:val="24"/>
        </w:rPr>
        <w:t>) was</w:t>
      </w:r>
      <w:r w:rsidRPr="00973F0C">
        <w:rPr>
          <w:rFonts w:ascii="Times New Roman" w:hAnsi="Times New Roman" w:cs="Times New Roman"/>
          <w:sz w:val="24"/>
          <w:szCs w:val="24"/>
        </w:rPr>
        <w:t xml:space="preserve"> of great significance in segregation. CRT's concerns include disparate punishing of colored individuals in the system of criminal integrity, grounds language codes, and confirmatory action. </w:t>
      </w:r>
      <w:r w:rsidR="00BF730F" w:rsidRPr="00973F0C">
        <w:rPr>
          <w:rFonts w:ascii="Times New Roman" w:hAnsi="Times New Roman" w:cs="Times New Roman"/>
          <w:sz w:val="24"/>
          <w:szCs w:val="24"/>
        </w:rPr>
        <w:t>Five tenets make the fundamental perceptions, methods of research, and pedagogics of CRT happening in education. First are the intersectionality and centralism of racism and race. There is evidence in CRT that racism and race are engrained and persistent in culture and play a vital part in explaining and apprehending personal proficiencies concerning the law. Secondly, in education, the CRT contests the orthodoxy mainly concerning the learning system's arguments and i</w:t>
      </w:r>
      <w:r w:rsidRPr="00973F0C">
        <w:rPr>
          <w:rFonts w:ascii="Times New Roman" w:hAnsi="Times New Roman" w:cs="Times New Roman"/>
          <w:sz w:val="24"/>
          <w:szCs w:val="24"/>
        </w:rPr>
        <w:t xml:space="preserve">ts interpretations </w:t>
      </w:r>
      <w:r w:rsidR="00BF730F" w:rsidRPr="00973F0C">
        <w:rPr>
          <w:rFonts w:ascii="Times New Roman" w:hAnsi="Times New Roman" w:cs="Times New Roman"/>
          <w:sz w:val="24"/>
          <w:szCs w:val="24"/>
        </w:rPr>
        <w:t>objectivity, meritocracy, color,</w:t>
      </w:r>
      <w:r w:rsidR="001E036A" w:rsidRPr="00973F0C">
        <w:rPr>
          <w:rFonts w:ascii="Times New Roman" w:hAnsi="Times New Roman" w:cs="Times New Roman"/>
          <w:sz w:val="24"/>
          <w:szCs w:val="24"/>
        </w:rPr>
        <w:t xml:space="preserve"> equal chance for all, and sex blindness. </w:t>
      </w:r>
    </w:p>
    <w:p w:rsidR="005B15CB" w:rsidRPr="00973F0C" w:rsidRDefault="00475D85" w:rsidP="00973F0C">
      <w:pPr>
        <w:spacing w:line="480" w:lineRule="auto"/>
        <w:ind w:firstLine="720"/>
        <w:rPr>
          <w:rFonts w:ascii="Times New Roman" w:hAnsi="Times New Roman" w:cs="Times New Roman"/>
          <w:sz w:val="24"/>
          <w:szCs w:val="24"/>
        </w:rPr>
      </w:pPr>
      <w:r w:rsidRPr="00973F0C">
        <w:rPr>
          <w:rFonts w:ascii="Times New Roman" w:hAnsi="Times New Roman" w:cs="Times New Roman"/>
          <w:sz w:val="24"/>
          <w:szCs w:val="24"/>
        </w:rPr>
        <w:t xml:space="preserve">Third, there is a strong obligation to communal justice and dismissal of racism. This includes the termination of different subordination methods, which include sexual coordination discrimination, gender, and class by the 392 </w:t>
      </w:r>
      <w:r w:rsidR="00973F0C" w:rsidRPr="00973F0C">
        <w:rPr>
          <w:rFonts w:ascii="Times New Roman" w:hAnsi="Times New Roman" w:cs="Times New Roman"/>
          <w:sz w:val="24"/>
          <w:szCs w:val="24"/>
        </w:rPr>
        <w:t>tutor’s</w:t>
      </w:r>
      <w:r w:rsidRPr="00973F0C">
        <w:rPr>
          <w:rFonts w:ascii="Times New Roman" w:hAnsi="Times New Roman" w:cs="Times New Roman"/>
          <w:sz w:val="24"/>
          <w:szCs w:val="24"/>
        </w:rPr>
        <w:t xml:space="preserve"> college. Fourth, the CRT identifies the significance of empirical knowledge of colored individuals, and it is </w:t>
      </w:r>
      <w:r w:rsidR="00973F0C">
        <w:rPr>
          <w:rFonts w:ascii="Times New Roman" w:hAnsi="Times New Roman" w:cs="Times New Roman"/>
          <w:sz w:val="24"/>
          <w:szCs w:val="24"/>
        </w:rPr>
        <w:t xml:space="preserve">essential </w:t>
      </w:r>
      <w:r w:rsidRPr="00973F0C">
        <w:rPr>
          <w:rFonts w:ascii="Times New Roman" w:hAnsi="Times New Roman" w:cs="Times New Roman"/>
          <w:sz w:val="24"/>
          <w:szCs w:val="24"/>
        </w:rPr>
        <w:t xml:space="preserve">and appropriate for </w:t>
      </w:r>
      <w:r w:rsidR="002368EA" w:rsidRPr="00973F0C">
        <w:rPr>
          <w:rFonts w:ascii="Times New Roman" w:hAnsi="Times New Roman" w:cs="Times New Roman"/>
          <w:sz w:val="24"/>
          <w:szCs w:val="24"/>
        </w:rPr>
        <w:t>analyzing teaching and understanding concerning racism in the education sector. Finally, CRT contests many studies' unidisciplinary and historical concern and contends that racism and race in education could be understood entirely best by integrating interdisciplinary perceptions.IN Richard's view, CRT offers a captivating theoretic framework that couches his historical study of the Mendez case and its part in Brown's decision</w:t>
      </w:r>
      <w:r w:rsidR="00EA3F46" w:rsidRPr="00973F0C">
        <w:rPr>
          <w:rFonts w:ascii="Times New Roman" w:hAnsi="Times New Roman" w:cs="Times New Roman"/>
          <w:sz w:val="24"/>
          <w:szCs w:val="24"/>
        </w:rPr>
        <w:t>(Valencia,2005)</w:t>
      </w:r>
      <w:r w:rsidR="002368EA" w:rsidRPr="00973F0C">
        <w:rPr>
          <w:rFonts w:ascii="Times New Roman" w:hAnsi="Times New Roman" w:cs="Times New Roman"/>
          <w:sz w:val="24"/>
          <w:szCs w:val="24"/>
        </w:rPr>
        <w:t>.</w:t>
      </w:r>
    </w:p>
    <w:p w:rsidR="00EA3F46" w:rsidRPr="00973F0C" w:rsidRDefault="00475D85" w:rsidP="00973F0C">
      <w:pPr>
        <w:spacing w:line="480" w:lineRule="auto"/>
        <w:ind w:firstLine="720"/>
        <w:rPr>
          <w:rFonts w:ascii="Times New Roman" w:hAnsi="Times New Roman" w:cs="Times New Roman"/>
          <w:sz w:val="24"/>
          <w:szCs w:val="24"/>
        </w:rPr>
      </w:pPr>
      <w:r w:rsidRPr="00973F0C">
        <w:rPr>
          <w:rFonts w:ascii="Times New Roman" w:hAnsi="Times New Roman" w:cs="Times New Roman"/>
          <w:sz w:val="24"/>
          <w:szCs w:val="24"/>
        </w:rPr>
        <w:t xml:space="preserve">While I was reading, I figured out that Brown and Mendez have an apparent connection. Mendez's rulings and at the levels of the ninth circuit and the court of federal district backed up the "climate of optism," which invaded this age. The Mendez case also illustrated the influence of social science study in firming </w:t>
      </w:r>
      <w:r w:rsidR="00973F0C" w:rsidRPr="00973F0C">
        <w:rPr>
          <w:rFonts w:ascii="Times New Roman" w:hAnsi="Times New Roman" w:cs="Times New Roman"/>
          <w:sz w:val="24"/>
          <w:szCs w:val="24"/>
        </w:rPr>
        <w:t>Counsel</w:t>
      </w:r>
      <w:r w:rsidR="00AB1A81" w:rsidRPr="00973F0C">
        <w:rPr>
          <w:rFonts w:ascii="Times New Roman" w:hAnsi="Times New Roman" w:cs="Times New Roman"/>
          <w:sz w:val="24"/>
          <w:szCs w:val="24"/>
        </w:rPr>
        <w:t xml:space="preserve"> Marcus's claim concerning the unfavorable impact of segregation. This proved to be very useful to Brown as the plan aided to boost the plaintiff's integrationist spat. This article has brought back the most vital institution desegregation case of Mendez.</w:t>
      </w:r>
    </w:p>
    <w:p w:rsidR="00355AEC" w:rsidRPr="00973F0C" w:rsidRDefault="00475D85" w:rsidP="00973F0C">
      <w:pPr>
        <w:spacing w:line="480" w:lineRule="auto"/>
        <w:ind w:firstLine="720"/>
        <w:rPr>
          <w:rFonts w:ascii="Times New Roman" w:hAnsi="Times New Roman" w:cs="Times New Roman"/>
          <w:sz w:val="24"/>
          <w:szCs w:val="24"/>
        </w:rPr>
      </w:pPr>
      <w:r w:rsidRPr="00973F0C">
        <w:rPr>
          <w:rFonts w:ascii="Times New Roman" w:hAnsi="Times New Roman" w:cs="Times New Roman"/>
          <w:sz w:val="24"/>
          <w:szCs w:val="24"/>
        </w:rPr>
        <w:t xml:space="preserve">Richard has done so by phrasing his study within the theoretical context of CRT in learning and contradicting the White/Black dual hypothesis of race. The analysis also aids in understanding the </w:t>
      </w:r>
      <w:r w:rsidR="00295033" w:rsidRPr="00973F0C">
        <w:rPr>
          <w:rFonts w:ascii="Times New Roman" w:hAnsi="Times New Roman" w:cs="Times New Roman"/>
          <w:sz w:val="24"/>
          <w:szCs w:val="24"/>
        </w:rPr>
        <w:t>worth of several groups functioning together in the U.S to aim at having an unprecedented and remarkable growth amongst colored individuals in this 21</w:t>
      </w:r>
      <w:r w:rsidR="00295033" w:rsidRPr="00973F0C">
        <w:rPr>
          <w:rFonts w:ascii="Times New Roman" w:hAnsi="Times New Roman" w:cs="Times New Roman"/>
          <w:sz w:val="24"/>
          <w:szCs w:val="24"/>
          <w:vertAlign w:val="superscript"/>
        </w:rPr>
        <w:t>st</w:t>
      </w:r>
      <w:r w:rsidR="00295033" w:rsidRPr="00973F0C">
        <w:rPr>
          <w:rFonts w:ascii="Times New Roman" w:hAnsi="Times New Roman" w:cs="Times New Roman"/>
          <w:sz w:val="24"/>
          <w:szCs w:val="24"/>
        </w:rPr>
        <w:t xml:space="preserve"> century. Among the strong points of CRT lay the remark that various teams who work together to end segregation frequently realize that to guard one group's rights is intimately associated with everyone's fundamental rights. </w:t>
      </w:r>
    </w:p>
    <w:p w:rsidR="00973F0C" w:rsidRDefault="00973F0C" w:rsidP="00973F0C">
      <w:pPr>
        <w:spacing w:line="480" w:lineRule="auto"/>
        <w:rPr>
          <w:rFonts w:ascii="Times New Roman" w:hAnsi="Times New Roman" w:cs="Times New Roman"/>
          <w:sz w:val="24"/>
          <w:szCs w:val="24"/>
        </w:rPr>
      </w:pPr>
    </w:p>
    <w:p w:rsidR="00973F0C" w:rsidRDefault="00973F0C" w:rsidP="00973F0C">
      <w:pPr>
        <w:spacing w:line="480" w:lineRule="auto"/>
        <w:rPr>
          <w:rFonts w:ascii="Times New Roman" w:hAnsi="Times New Roman" w:cs="Times New Roman"/>
          <w:sz w:val="24"/>
          <w:szCs w:val="24"/>
        </w:rPr>
      </w:pPr>
    </w:p>
    <w:p w:rsidR="00973F0C" w:rsidRDefault="00973F0C" w:rsidP="00973F0C">
      <w:pPr>
        <w:spacing w:line="480" w:lineRule="auto"/>
        <w:jc w:val="center"/>
        <w:rPr>
          <w:rFonts w:ascii="Times New Roman" w:hAnsi="Times New Roman" w:cs="Times New Roman"/>
          <w:sz w:val="24"/>
          <w:szCs w:val="24"/>
        </w:rPr>
      </w:pPr>
    </w:p>
    <w:p w:rsidR="00973F0C" w:rsidRDefault="00973F0C" w:rsidP="00973F0C">
      <w:pPr>
        <w:spacing w:line="480" w:lineRule="auto"/>
        <w:jc w:val="center"/>
        <w:rPr>
          <w:rFonts w:ascii="Times New Roman" w:hAnsi="Times New Roman" w:cs="Times New Roman"/>
          <w:sz w:val="24"/>
          <w:szCs w:val="24"/>
        </w:rPr>
      </w:pPr>
    </w:p>
    <w:p w:rsidR="00973F0C" w:rsidRDefault="00973F0C" w:rsidP="00973F0C">
      <w:pPr>
        <w:spacing w:line="480" w:lineRule="auto"/>
        <w:jc w:val="center"/>
        <w:rPr>
          <w:rFonts w:ascii="Times New Roman" w:hAnsi="Times New Roman" w:cs="Times New Roman"/>
          <w:sz w:val="24"/>
          <w:szCs w:val="24"/>
        </w:rPr>
      </w:pPr>
    </w:p>
    <w:p w:rsidR="00973F0C" w:rsidRDefault="00973F0C" w:rsidP="00973F0C">
      <w:pPr>
        <w:spacing w:line="480" w:lineRule="auto"/>
        <w:jc w:val="center"/>
        <w:rPr>
          <w:rFonts w:ascii="Times New Roman" w:hAnsi="Times New Roman" w:cs="Times New Roman"/>
          <w:sz w:val="24"/>
          <w:szCs w:val="24"/>
        </w:rPr>
      </w:pPr>
    </w:p>
    <w:p w:rsidR="00973F0C" w:rsidRDefault="00973F0C" w:rsidP="00973F0C">
      <w:pPr>
        <w:spacing w:line="480" w:lineRule="auto"/>
        <w:jc w:val="center"/>
        <w:rPr>
          <w:rFonts w:ascii="Times New Roman" w:hAnsi="Times New Roman" w:cs="Times New Roman"/>
          <w:sz w:val="24"/>
          <w:szCs w:val="24"/>
        </w:rPr>
      </w:pPr>
    </w:p>
    <w:p w:rsidR="00973F0C" w:rsidRDefault="00973F0C" w:rsidP="00973F0C">
      <w:pPr>
        <w:spacing w:line="480" w:lineRule="auto"/>
        <w:jc w:val="center"/>
        <w:rPr>
          <w:rFonts w:ascii="Times New Roman" w:hAnsi="Times New Roman" w:cs="Times New Roman"/>
          <w:sz w:val="24"/>
          <w:szCs w:val="24"/>
        </w:rPr>
      </w:pPr>
    </w:p>
    <w:p w:rsidR="00973F0C" w:rsidRDefault="00973F0C" w:rsidP="00973F0C">
      <w:pPr>
        <w:spacing w:line="480" w:lineRule="auto"/>
        <w:jc w:val="center"/>
        <w:rPr>
          <w:rFonts w:ascii="Times New Roman" w:hAnsi="Times New Roman" w:cs="Times New Roman"/>
          <w:sz w:val="24"/>
          <w:szCs w:val="24"/>
        </w:rPr>
      </w:pPr>
    </w:p>
    <w:p w:rsidR="00973F0C" w:rsidRDefault="00973F0C" w:rsidP="00973F0C">
      <w:pPr>
        <w:spacing w:line="480" w:lineRule="auto"/>
        <w:jc w:val="center"/>
        <w:rPr>
          <w:rFonts w:ascii="Times New Roman" w:hAnsi="Times New Roman" w:cs="Times New Roman"/>
          <w:sz w:val="24"/>
          <w:szCs w:val="24"/>
        </w:rPr>
      </w:pPr>
    </w:p>
    <w:p w:rsidR="00973F0C" w:rsidRDefault="00973F0C" w:rsidP="00973F0C">
      <w:pPr>
        <w:spacing w:line="480" w:lineRule="auto"/>
        <w:jc w:val="center"/>
        <w:rPr>
          <w:rFonts w:ascii="Times New Roman" w:hAnsi="Times New Roman" w:cs="Times New Roman"/>
          <w:sz w:val="24"/>
          <w:szCs w:val="24"/>
        </w:rPr>
      </w:pPr>
    </w:p>
    <w:p w:rsidR="0041556F" w:rsidRPr="00973F0C" w:rsidRDefault="00475D85" w:rsidP="00973F0C">
      <w:pPr>
        <w:spacing w:line="480" w:lineRule="auto"/>
        <w:jc w:val="center"/>
        <w:rPr>
          <w:rFonts w:ascii="Times New Roman" w:hAnsi="Times New Roman" w:cs="Times New Roman"/>
          <w:sz w:val="24"/>
          <w:szCs w:val="24"/>
        </w:rPr>
      </w:pPr>
      <w:r w:rsidRPr="00973F0C">
        <w:rPr>
          <w:rFonts w:ascii="Times New Roman" w:hAnsi="Times New Roman" w:cs="Times New Roman"/>
          <w:sz w:val="24"/>
          <w:szCs w:val="24"/>
        </w:rPr>
        <w:t>Reference</w:t>
      </w:r>
    </w:p>
    <w:p w:rsidR="000F64B2" w:rsidRPr="00973F0C" w:rsidRDefault="00475D85" w:rsidP="00973F0C">
      <w:pPr>
        <w:spacing w:line="480" w:lineRule="auto"/>
        <w:rPr>
          <w:rFonts w:ascii="Times New Roman" w:hAnsi="Times New Roman" w:cs="Times New Roman"/>
          <w:sz w:val="24"/>
          <w:szCs w:val="24"/>
        </w:rPr>
      </w:pPr>
      <w:r w:rsidRPr="00973F0C">
        <w:rPr>
          <w:rFonts w:ascii="Times New Roman" w:hAnsi="Times New Roman" w:cs="Times New Roman"/>
          <w:sz w:val="24"/>
          <w:szCs w:val="24"/>
          <w:shd w:val="clear" w:color="auto" w:fill="FFFFFF"/>
        </w:rPr>
        <w:t>Valencia, R. R. (2005). The Mexican American struggle for equal educational opportunity in Mendez v. Westminster: Helping to pave the way for Brown v. Board of Education. </w:t>
      </w:r>
      <w:r w:rsidRPr="00973F0C">
        <w:rPr>
          <w:rFonts w:ascii="Times New Roman" w:hAnsi="Times New Roman" w:cs="Times New Roman"/>
          <w:i/>
          <w:iCs/>
          <w:sz w:val="24"/>
          <w:szCs w:val="24"/>
          <w:shd w:val="clear" w:color="auto" w:fill="FFFFFF"/>
        </w:rPr>
        <w:t>Teachers College Record</w:t>
      </w:r>
      <w:r w:rsidRPr="00973F0C">
        <w:rPr>
          <w:rFonts w:ascii="Times New Roman" w:hAnsi="Times New Roman" w:cs="Times New Roman"/>
          <w:sz w:val="24"/>
          <w:szCs w:val="24"/>
          <w:shd w:val="clear" w:color="auto" w:fill="FFFFFF"/>
        </w:rPr>
        <w:t>, </w:t>
      </w:r>
      <w:r w:rsidRPr="00973F0C">
        <w:rPr>
          <w:rFonts w:ascii="Times New Roman" w:hAnsi="Times New Roman" w:cs="Times New Roman"/>
          <w:i/>
          <w:iCs/>
          <w:sz w:val="24"/>
          <w:szCs w:val="24"/>
          <w:shd w:val="clear" w:color="auto" w:fill="FFFFFF"/>
        </w:rPr>
        <w:t>107</w:t>
      </w:r>
      <w:r w:rsidRPr="00973F0C">
        <w:rPr>
          <w:rFonts w:ascii="Times New Roman" w:hAnsi="Times New Roman" w:cs="Times New Roman"/>
          <w:sz w:val="24"/>
          <w:szCs w:val="24"/>
          <w:shd w:val="clear" w:color="auto" w:fill="FFFFFF"/>
        </w:rPr>
        <w:t>(3), 389-423.</w:t>
      </w:r>
    </w:p>
    <w:sectPr w:rsidR="000F64B2" w:rsidRPr="00973F0C" w:rsidSect="00617513">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75D85" w:rsidRDefault="00475D85">
      <w:pPr>
        <w:spacing w:after="0" w:line="240" w:lineRule="auto"/>
      </w:pPr>
      <w:r>
        <w:separator/>
      </w:r>
    </w:p>
  </w:endnote>
  <w:endnote w:type="continuationSeparator" w:id="0">
    <w:p w:rsidR="00475D85" w:rsidRDefault="00475D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75D85" w:rsidRDefault="00475D85">
      <w:pPr>
        <w:spacing w:after="0" w:line="240" w:lineRule="auto"/>
      </w:pPr>
      <w:r>
        <w:separator/>
      </w:r>
    </w:p>
  </w:footnote>
  <w:footnote w:type="continuationSeparator" w:id="0">
    <w:p w:rsidR="00475D85" w:rsidRDefault="00475D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17513" w:rsidRPr="00617513" w:rsidRDefault="00475D85">
    <w:pPr>
      <w:pStyle w:val="Header"/>
      <w:rPr>
        <w:rFonts w:ascii="Times New Roman" w:hAnsi="Times New Roman" w:cs="Times New Roman"/>
        <w:sz w:val="24"/>
        <w:szCs w:val="24"/>
      </w:rPr>
    </w:pPr>
    <w:r>
      <w:rPr>
        <w:rFonts w:ascii="Times New Roman" w:hAnsi="Times New Roman" w:cs="Times New Roman"/>
        <w:sz w:val="24"/>
        <w:szCs w:val="24"/>
      </w:rPr>
      <w:t xml:space="preserve">ARTICLE SUMMARY       </w:t>
    </w:r>
    <w:r w:rsidRPr="00617513">
      <w:rPr>
        <w:rFonts w:ascii="Times New Roman" w:hAnsi="Times New Roman" w:cs="Times New Roman"/>
        <w:sz w:val="24"/>
        <w:szCs w:val="24"/>
      </w:rPr>
      <w:t xml:space="preserve">                                                                                                          </w:t>
    </w:r>
    <w:r w:rsidRPr="00617513">
      <w:rPr>
        <w:rFonts w:ascii="Times New Roman" w:hAnsi="Times New Roman" w:cs="Times New Roman"/>
        <w:sz w:val="24"/>
        <w:szCs w:val="24"/>
      </w:rPr>
      <w:fldChar w:fldCharType="begin"/>
    </w:r>
    <w:r w:rsidRPr="00617513">
      <w:rPr>
        <w:rFonts w:ascii="Times New Roman" w:hAnsi="Times New Roman" w:cs="Times New Roman"/>
        <w:sz w:val="24"/>
        <w:szCs w:val="24"/>
      </w:rPr>
      <w:instrText xml:space="preserve"> PAGE   \* MERGEFORMAT </w:instrText>
    </w:r>
    <w:r w:rsidRPr="00617513">
      <w:rPr>
        <w:rFonts w:ascii="Times New Roman" w:hAnsi="Times New Roman" w:cs="Times New Roman"/>
        <w:sz w:val="24"/>
        <w:szCs w:val="24"/>
      </w:rPr>
      <w:fldChar w:fldCharType="separate"/>
    </w:r>
    <w:r w:rsidR="000814BD">
      <w:rPr>
        <w:rFonts w:ascii="Times New Roman" w:hAnsi="Times New Roman" w:cs="Times New Roman"/>
        <w:noProof/>
        <w:sz w:val="24"/>
        <w:szCs w:val="24"/>
      </w:rPr>
      <w:t>5</w:t>
    </w:r>
    <w:r w:rsidRPr="0061751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401"/>
    <w:rsid w:val="000814BD"/>
    <w:rsid w:val="000F64B2"/>
    <w:rsid w:val="001E036A"/>
    <w:rsid w:val="002368EA"/>
    <w:rsid w:val="00295033"/>
    <w:rsid w:val="00355AEC"/>
    <w:rsid w:val="003B7401"/>
    <w:rsid w:val="0041556F"/>
    <w:rsid w:val="00475D85"/>
    <w:rsid w:val="004A133E"/>
    <w:rsid w:val="004D6D24"/>
    <w:rsid w:val="005B15CB"/>
    <w:rsid w:val="00617513"/>
    <w:rsid w:val="00873655"/>
    <w:rsid w:val="00973F0C"/>
    <w:rsid w:val="00992EA4"/>
    <w:rsid w:val="00AA769B"/>
    <w:rsid w:val="00AB1A81"/>
    <w:rsid w:val="00B22558"/>
    <w:rsid w:val="00BF730F"/>
    <w:rsid w:val="00C528ED"/>
    <w:rsid w:val="00D52D3E"/>
    <w:rsid w:val="00EA3F46"/>
    <w:rsid w:val="00EE2937"/>
    <w:rsid w:val="00F22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6E4C90-EEFA-446A-99CB-1AF2F633F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75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513"/>
  </w:style>
  <w:style w:type="paragraph" w:styleId="Footer">
    <w:name w:val="footer"/>
    <w:basedOn w:val="Normal"/>
    <w:link w:val="FooterChar"/>
    <w:uiPriority w:val="99"/>
    <w:unhideWhenUsed/>
    <w:rsid w:val="006175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5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759</Words>
  <Characters>4327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nyoike31@gmail.com</cp:lastModifiedBy>
  <cp:revision>2</cp:revision>
  <dcterms:created xsi:type="dcterms:W3CDTF">2020-09-20T20:23:00Z</dcterms:created>
  <dcterms:modified xsi:type="dcterms:W3CDTF">2020-09-20T20:23:00Z</dcterms:modified>
</cp:coreProperties>
</file>