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6F5D18">
      <w:pPr>
        <w:rPr>
          <w:rFonts w:ascii="Times New Roman" w:hAnsi="Times New Roman" w:cs="Times New Roman"/>
          <w:sz w:val="24"/>
          <w:szCs w:val="24"/>
        </w:rPr>
      </w:pPr>
      <w:r>
        <w:rPr>
          <w:rFonts w:ascii="Times New Roman" w:hAnsi="Times New Roman" w:cs="Times New Roman"/>
          <w:sz w:val="24"/>
          <w:szCs w:val="24"/>
        </w:rPr>
        <w:t xml:space="preserve">Name </w:t>
      </w:r>
    </w:p>
    <w:p w:rsidR="0083493F">
      <w:pPr>
        <w:rPr>
          <w:rFonts w:ascii="Times New Roman" w:hAnsi="Times New Roman" w:cs="Times New Roman"/>
          <w:sz w:val="24"/>
          <w:szCs w:val="24"/>
        </w:rPr>
      </w:pPr>
      <w:r>
        <w:rPr>
          <w:rFonts w:ascii="Times New Roman" w:hAnsi="Times New Roman" w:cs="Times New Roman"/>
          <w:sz w:val="24"/>
          <w:szCs w:val="24"/>
        </w:rPr>
        <w:t>Instructor</w:t>
      </w:r>
    </w:p>
    <w:p w:rsidR="0083493F">
      <w:pPr>
        <w:rPr>
          <w:rFonts w:ascii="Times New Roman" w:hAnsi="Times New Roman" w:cs="Times New Roman"/>
          <w:sz w:val="24"/>
          <w:szCs w:val="24"/>
        </w:rPr>
      </w:pPr>
      <w:r>
        <w:rPr>
          <w:rFonts w:ascii="Times New Roman" w:hAnsi="Times New Roman" w:cs="Times New Roman"/>
          <w:sz w:val="24"/>
          <w:szCs w:val="24"/>
        </w:rPr>
        <w:t>Course</w:t>
      </w:r>
    </w:p>
    <w:p w:rsidR="0083493F">
      <w:pPr>
        <w:rPr>
          <w:rFonts w:ascii="Times New Roman" w:hAnsi="Times New Roman" w:cs="Times New Roman"/>
          <w:sz w:val="24"/>
          <w:szCs w:val="24"/>
        </w:rPr>
      </w:pPr>
      <w:r>
        <w:rPr>
          <w:rFonts w:ascii="Times New Roman" w:hAnsi="Times New Roman" w:cs="Times New Roman"/>
          <w:sz w:val="24"/>
          <w:szCs w:val="24"/>
        </w:rPr>
        <w:t>Date</w:t>
      </w:r>
    </w:p>
    <w:p w:rsidR="0083493F" w:rsidP="00067674">
      <w:pPr>
        <w:jc w:val="center"/>
        <w:rPr>
          <w:rFonts w:ascii="Times New Roman" w:hAnsi="Times New Roman" w:cs="Times New Roman"/>
          <w:sz w:val="24"/>
          <w:szCs w:val="24"/>
        </w:rPr>
      </w:pPr>
      <w:r>
        <w:rPr>
          <w:rFonts w:ascii="Times New Roman" w:hAnsi="Times New Roman" w:cs="Times New Roman"/>
          <w:sz w:val="24"/>
          <w:szCs w:val="24"/>
        </w:rPr>
        <w:t xml:space="preserve"> Duality and Reciprocity</w:t>
      </w:r>
    </w:p>
    <w:p w:rsidR="00500D8D" w:rsidP="00500D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conquest of Mexico by the Spanish and the eventual survival of some of their cultures relied on four fundamental principles. These principles included duality, reciprocity, cardinality, and propriety. The lives of Mesoamericans revolved around these principles with each playing a distinct but complementary role. </w:t>
      </w:r>
      <w:r w:rsidR="00E92B54">
        <w:rPr>
          <w:rFonts w:ascii="Times New Roman" w:hAnsi="Times New Roman" w:cs="Times New Roman"/>
          <w:sz w:val="24"/>
          <w:szCs w:val="24"/>
        </w:rPr>
        <w:t xml:space="preserve">For instance, cardinality shaped their view of the world whereas duality shaped their religious beliefs. They believed everything existed in pairs to complement each other. This paper looks into the role of reciprocity and duality in the pre-Spanish conquest and </w:t>
      </w:r>
      <w:r w:rsidR="00C704DF">
        <w:rPr>
          <w:rFonts w:ascii="Times New Roman" w:hAnsi="Times New Roman" w:cs="Times New Roman"/>
          <w:sz w:val="24"/>
          <w:szCs w:val="24"/>
        </w:rPr>
        <w:t>their survival in contemporary times.</w:t>
      </w:r>
    </w:p>
    <w:p w:rsidR="00C704DF" w:rsidP="00500D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F42EB">
        <w:rPr>
          <w:rFonts w:ascii="Times New Roman" w:hAnsi="Times New Roman" w:cs="Times New Roman"/>
          <w:sz w:val="24"/>
          <w:szCs w:val="24"/>
        </w:rPr>
        <w:t>traditional Mesoamerican society had duality at the epicenter of their cultural and religious beliefs. They believed in the existence of things in pairs that supported each. For instance, the leadership structure depicted this duality where they had the rulers (</w:t>
      </w:r>
      <w:r w:rsidRPr="00BF42EB" w:rsidR="00BF42EB">
        <w:rPr>
          <w:rFonts w:ascii="Times New Roman" w:hAnsi="Times New Roman" w:cs="Times New Roman"/>
          <w:sz w:val="24"/>
          <w:szCs w:val="24"/>
        </w:rPr>
        <w:t>Nahuatl pipiltin)</w:t>
      </w:r>
      <w:r w:rsidR="00BF42EB">
        <w:rPr>
          <w:rFonts w:ascii="Times New Roman" w:hAnsi="Times New Roman" w:cs="Times New Roman"/>
          <w:sz w:val="24"/>
          <w:szCs w:val="24"/>
        </w:rPr>
        <w:t xml:space="preserve"> and the </w:t>
      </w:r>
      <w:r w:rsidR="00F57345">
        <w:rPr>
          <w:rFonts w:ascii="Times New Roman" w:hAnsi="Times New Roman" w:cs="Times New Roman"/>
          <w:sz w:val="24"/>
          <w:szCs w:val="24"/>
        </w:rPr>
        <w:t>followers (</w:t>
      </w:r>
      <w:r w:rsidRPr="00F57345" w:rsidR="00F57345">
        <w:rPr>
          <w:rFonts w:ascii="Times New Roman" w:hAnsi="Times New Roman" w:cs="Times New Roman"/>
          <w:sz w:val="24"/>
          <w:szCs w:val="24"/>
        </w:rPr>
        <w:t>Nahuatl macehualtin</w:t>
      </w:r>
      <w:r w:rsidR="00F57345">
        <w:rPr>
          <w:rFonts w:ascii="Times New Roman" w:hAnsi="Times New Roman" w:cs="Times New Roman"/>
          <w:sz w:val="24"/>
          <w:szCs w:val="24"/>
        </w:rPr>
        <w:t xml:space="preserve">) </w:t>
      </w:r>
      <w:sdt>
        <w:sdtPr>
          <w:rPr>
            <w:rFonts w:ascii="Times New Roman" w:hAnsi="Times New Roman" w:cs="Times New Roman"/>
            <w:sz w:val="24"/>
            <w:szCs w:val="24"/>
          </w:rPr>
          <w:id w:val="1655953368"/>
          <w:citation/>
        </w:sdtPr>
        <w:sdtContent>
          <w:r w:rsidR="00F57345">
            <w:rPr>
              <w:rFonts w:ascii="Times New Roman" w:hAnsi="Times New Roman" w:cs="Times New Roman"/>
              <w:sz w:val="24"/>
              <w:szCs w:val="24"/>
            </w:rPr>
            <w:fldChar w:fldCharType="begin"/>
          </w:r>
          <w:r w:rsidR="00F57345">
            <w:rPr>
              <w:rFonts w:ascii="Times New Roman" w:hAnsi="Times New Roman" w:cs="Times New Roman"/>
              <w:sz w:val="24"/>
              <w:szCs w:val="24"/>
            </w:rPr>
            <w:instrText xml:space="preserve"> CITATION Fra92 \l 1033 </w:instrText>
          </w:r>
          <w:r w:rsidR="00F57345">
            <w:rPr>
              <w:rFonts w:ascii="Times New Roman" w:hAnsi="Times New Roman" w:cs="Times New Roman"/>
              <w:sz w:val="24"/>
              <w:szCs w:val="24"/>
            </w:rPr>
            <w:fldChar w:fldCharType="separate"/>
          </w:r>
          <w:r w:rsidRPr="00F57345" w:rsidR="00F57345">
            <w:rPr>
              <w:rFonts w:ascii="Times New Roman" w:hAnsi="Times New Roman" w:cs="Times New Roman"/>
              <w:noProof/>
              <w:sz w:val="24"/>
              <w:szCs w:val="24"/>
            </w:rPr>
            <w:t>(Karttunen, 1992)</w:t>
          </w:r>
          <w:r w:rsidR="00F57345">
            <w:rPr>
              <w:rFonts w:ascii="Times New Roman" w:hAnsi="Times New Roman" w:cs="Times New Roman"/>
              <w:sz w:val="24"/>
              <w:szCs w:val="24"/>
            </w:rPr>
            <w:fldChar w:fldCharType="end"/>
          </w:r>
        </w:sdtContent>
      </w:sdt>
      <w:r w:rsidR="00F57345">
        <w:rPr>
          <w:rFonts w:ascii="Times New Roman" w:hAnsi="Times New Roman" w:cs="Times New Roman"/>
          <w:sz w:val="24"/>
          <w:szCs w:val="24"/>
        </w:rPr>
        <w:t xml:space="preserve">.  The rulers primarily maintained order in the society </w:t>
      </w:r>
      <w:r w:rsidR="0027024E">
        <w:rPr>
          <w:rFonts w:ascii="Times New Roman" w:hAnsi="Times New Roman" w:cs="Times New Roman"/>
          <w:sz w:val="24"/>
          <w:szCs w:val="24"/>
        </w:rPr>
        <w:t>and existed in pyramidal hierarchy system with the king at the top and its subordinates on below. Additionally, the ruling class act</w:t>
      </w:r>
      <w:r w:rsidR="003C5B41">
        <w:rPr>
          <w:rFonts w:ascii="Times New Roman" w:hAnsi="Times New Roman" w:cs="Times New Roman"/>
          <w:sz w:val="24"/>
          <w:szCs w:val="24"/>
        </w:rPr>
        <w:t xml:space="preserve">ed as the mediators between the humans and deity. In essence, the duality shaped the religious beliefs their existence was a result of the presence of a supernatural power. Besides, they had a clear moiety structure; two rulers, </w:t>
      </w:r>
      <w:r w:rsidR="0033745D">
        <w:rPr>
          <w:rFonts w:ascii="Times New Roman" w:hAnsi="Times New Roman" w:cs="Times New Roman"/>
          <w:sz w:val="24"/>
          <w:szCs w:val="24"/>
        </w:rPr>
        <w:t>sets of officials, and sets of revolving responsibilities</w:t>
      </w:r>
      <w:sdt>
        <w:sdtPr>
          <w:rPr>
            <w:rFonts w:ascii="Times New Roman" w:hAnsi="Times New Roman" w:cs="Times New Roman"/>
            <w:sz w:val="24"/>
            <w:szCs w:val="24"/>
          </w:rPr>
          <w:id w:val="-1096245044"/>
          <w:citation/>
        </w:sdtPr>
        <w:sdtContent>
          <w:r w:rsidR="0033745D">
            <w:rPr>
              <w:rFonts w:ascii="Times New Roman" w:hAnsi="Times New Roman" w:cs="Times New Roman"/>
              <w:sz w:val="24"/>
              <w:szCs w:val="24"/>
            </w:rPr>
            <w:fldChar w:fldCharType="begin"/>
          </w:r>
          <w:r w:rsidR="0033745D">
            <w:rPr>
              <w:rFonts w:ascii="Times New Roman" w:hAnsi="Times New Roman" w:cs="Times New Roman"/>
              <w:sz w:val="24"/>
              <w:szCs w:val="24"/>
            </w:rPr>
            <w:instrText xml:space="preserve"> CITATION Fra92 \l 1033 </w:instrText>
          </w:r>
          <w:r w:rsidR="0033745D">
            <w:rPr>
              <w:rFonts w:ascii="Times New Roman" w:hAnsi="Times New Roman" w:cs="Times New Roman"/>
              <w:sz w:val="24"/>
              <w:szCs w:val="24"/>
            </w:rPr>
            <w:fldChar w:fldCharType="separate"/>
          </w:r>
          <w:r w:rsidR="0033745D">
            <w:rPr>
              <w:rFonts w:ascii="Times New Roman" w:hAnsi="Times New Roman" w:cs="Times New Roman"/>
              <w:noProof/>
              <w:sz w:val="24"/>
              <w:szCs w:val="24"/>
            </w:rPr>
            <w:t xml:space="preserve"> </w:t>
          </w:r>
          <w:r w:rsidRPr="0033745D" w:rsidR="0033745D">
            <w:rPr>
              <w:rFonts w:ascii="Times New Roman" w:hAnsi="Times New Roman" w:cs="Times New Roman"/>
              <w:noProof/>
              <w:sz w:val="24"/>
              <w:szCs w:val="24"/>
            </w:rPr>
            <w:t>(Karttunen, 1992)</w:t>
          </w:r>
          <w:r w:rsidR="0033745D">
            <w:rPr>
              <w:rFonts w:ascii="Times New Roman" w:hAnsi="Times New Roman" w:cs="Times New Roman"/>
              <w:sz w:val="24"/>
              <w:szCs w:val="24"/>
            </w:rPr>
            <w:fldChar w:fldCharType="end"/>
          </w:r>
        </w:sdtContent>
      </w:sdt>
      <w:r w:rsidR="0033745D">
        <w:rPr>
          <w:rFonts w:ascii="Times New Roman" w:hAnsi="Times New Roman" w:cs="Times New Roman"/>
          <w:sz w:val="24"/>
          <w:szCs w:val="24"/>
        </w:rPr>
        <w:t xml:space="preserve">. </w:t>
      </w:r>
      <w:r w:rsidR="00E57528">
        <w:rPr>
          <w:rFonts w:ascii="Times New Roman" w:hAnsi="Times New Roman" w:cs="Times New Roman"/>
          <w:sz w:val="24"/>
          <w:szCs w:val="24"/>
        </w:rPr>
        <w:t>Also, the duality existed</w:t>
      </w:r>
      <w:r w:rsidR="00F07043">
        <w:rPr>
          <w:rFonts w:ascii="Times New Roman" w:hAnsi="Times New Roman" w:cs="Times New Roman"/>
          <w:sz w:val="24"/>
          <w:szCs w:val="24"/>
        </w:rPr>
        <w:t xml:space="preserve"> in the ed</w:t>
      </w:r>
      <w:r w:rsidR="00E1430A">
        <w:rPr>
          <w:rFonts w:ascii="Times New Roman" w:hAnsi="Times New Roman" w:cs="Times New Roman"/>
          <w:sz w:val="24"/>
          <w:szCs w:val="24"/>
        </w:rPr>
        <w:t xml:space="preserve">ucation system where the rulers’ </w:t>
      </w:r>
      <w:r w:rsidR="00F07043">
        <w:rPr>
          <w:rFonts w:ascii="Times New Roman" w:hAnsi="Times New Roman" w:cs="Times New Roman"/>
          <w:sz w:val="24"/>
          <w:szCs w:val="24"/>
        </w:rPr>
        <w:t>kids went to different schools with the commoners’ yet they learned similar things.</w:t>
      </w:r>
      <w:r w:rsidR="00E57528">
        <w:rPr>
          <w:rFonts w:ascii="Times New Roman" w:hAnsi="Times New Roman" w:cs="Times New Roman"/>
          <w:sz w:val="24"/>
          <w:szCs w:val="24"/>
        </w:rPr>
        <w:t xml:space="preserve"> </w:t>
      </w:r>
      <w:r w:rsidR="0033745D">
        <w:rPr>
          <w:rFonts w:ascii="Times New Roman" w:hAnsi="Times New Roman" w:cs="Times New Roman"/>
          <w:sz w:val="24"/>
          <w:szCs w:val="24"/>
        </w:rPr>
        <w:t>In other words, each position had its substitute though one sits above the other.</w:t>
      </w:r>
    </w:p>
    <w:p w:rsidR="003C5B41" w:rsidP="00500D8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duality still exists within the Mesoamerican society in different forms. For instance, the leadership structure still depicts the pyramidal hierarchical system. Even the learning institutions are "</w:t>
      </w:r>
      <w:r w:rsidR="00A60412">
        <w:rPr>
          <w:rFonts w:ascii="Times New Roman" w:hAnsi="Times New Roman" w:cs="Times New Roman"/>
          <w:sz w:val="24"/>
          <w:szCs w:val="24"/>
        </w:rPr>
        <w:t xml:space="preserve">informally” classified based on the </w:t>
      </w:r>
      <w:r w:rsidR="0045400F">
        <w:rPr>
          <w:rFonts w:ascii="Times New Roman" w:hAnsi="Times New Roman" w:cs="Times New Roman"/>
          <w:sz w:val="24"/>
          <w:szCs w:val="24"/>
        </w:rPr>
        <w:t xml:space="preserve">quality of education and the cost. Schools that offer quality education are expensive thus out of reach for the ordinary folks. </w:t>
      </w:r>
    </w:p>
    <w:p w:rsidR="0045400F" w:rsidP="00500D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Indigenous communities before the Spanish invasion lived by reciprocity where they exchanged </w:t>
      </w:r>
      <w:r w:rsidR="00733B77">
        <w:rPr>
          <w:rFonts w:ascii="Times New Roman" w:hAnsi="Times New Roman" w:cs="Times New Roman"/>
          <w:sz w:val="24"/>
          <w:szCs w:val="24"/>
        </w:rPr>
        <w:t xml:space="preserve">favors. One of the greatest institutions that depicted reciprocity is "coparenthood" between the </w:t>
      </w:r>
      <w:r w:rsidR="0056336F">
        <w:rPr>
          <w:rFonts w:ascii="Times New Roman" w:hAnsi="Times New Roman" w:cs="Times New Roman"/>
          <w:sz w:val="24"/>
          <w:szCs w:val="24"/>
        </w:rPr>
        <w:t>godparents and natural parents</w:t>
      </w:r>
      <w:sdt>
        <w:sdtPr>
          <w:rPr>
            <w:rFonts w:ascii="Times New Roman" w:hAnsi="Times New Roman" w:cs="Times New Roman"/>
            <w:sz w:val="24"/>
            <w:szCs w:val="24"/>
          </w:rPr>
          <w:id w:val="-1460797933"/>
          <w:citation/>
        </w:sdtPr>
        <w:sdtContent>
          <w:r w:rsidR="00257DCC">
            <w:rPr>
              <w:rFonts w:ascii="Times New Roman" w:hAnsi="Times New Roman" w:cs="Times New Roman"/>
              <w:sz w:val="24"/>
              <w:szCs w:val="24"/>
            </w:rPr>
            <w:fldChar w:fldCharType="begin"/>
          </w:r>
          <w:r w:rsidR="00257DCC">
            <w:rPr>
              <w:rFonts w:ascii="Times New Roman" w:hAnsi="Times New Roman" w:cs="Times New Roman"/>
              <w:sz w:val="24"/>
              <w:szCs w:val="24"/>
            </w:rPr>
            <w:instrText xml:space="preserve"> CITATION Fra92 \l 1033 </w:instrText>
          </w:r>
          <w:r w:rsidR="00257DCC">
            <w:rPr>
              <w:rFonts w:ascii="Times New Roman" w:hAnsi="Times New Roman" w:cs="Times New Roman"/>
              <w:sz w:val="24"/>
              <w:szCs w:val="24"/>
            </w:rPr>
            <w:fldChar w:fldCharType="separate"/>
          </w:r>
          <w:r w:rsidR="00257DCC">
            <w:rPr>
              <w:rFonts w:ascii="Times New Roman" w:hAnsi="Times New Roman" w:cs="Times New Roman"/>
              <w:noProof/>
              <w:sz w:val="24"/>
              <w:szCs w:val="24"/>
            </w:rPr>
            <w:t xml:space="preserve"> </w:t>
          </w:r>
          <w:r w:rsidRPr="00257DCC" w:rsidR="00257DCC">
            <w:rPr>
              <w:rFonts w:ascii="Times New Roman" w:hAnsi="Times New Roman" w:cs="Times New Roman"/>
              <w:noProof/>
              <w:sz w:val="24"/>
              <w:szCs w:val="24"/>
            </w:rPr>
            <w:t>(Karttunen, 1992)</w:t>
          </w:r>
          <w:r w:rsidR="00257DCC">
            <w:rPr>
              <w:rFonts w:ascii="Times New Roman" w:hAnsi="Times New Roman" w:cs="Times New Roman"/>
              <w:sz w:val="24"/>
              <w:szCs w:val="24"/>
            </w:rPr>
            <w:fldChar w:fldCharType="end"/>
          </w:r>
        </w:sdtContent>
      </w:sdt>
      <w:r w:rsidR="0056336F">
        <w:rPr>
          <w:rFonts w:ascii="Times New Roman" w:hAnsi="Times New Roman" w:cs="Times New Roman"/>
          <w:sz w:val="24"/>
          <w:szCs w:val="24"/>
        </w:rPr>
        <w:t xml:space="preserve">. The two parents played a complementary role in caring for the child as she or he </w:t>
      </w:r>
      <w:r w:rsidR="00257DCC">
        <w:rPr>
          <w:rFonts w:ascii="Times New Roman" w:hAnsi="Times New Roman" w:cs="Times New Roman"/>
          <w:sz w:val="24"/>
          <w:szCs w:val="24"/>
        </w:rPr>
        <w:t xml:space="preserve">grows. The coparents trusted each other to perfectly undertake their roles. These two parties thus had to forge a working relationship amongst them. Based on respect of each other’s space and role. </w:t>
      </w:r>
      <w:r w:rsidR="00483A4C">
        <w:rPr>
          <w:rFonts w:ascii="Times New Roman" w:hAnsi="Times New Roman" w:cs="Times New Roman"/>
          <w:sz w:val="24"/>
          <w:szCs w:val="24"/>
        </w:rPr>
        <w:t xml:space="preserve">Reciprocity was also evident in their religious practices where the community representative would represent the whole community before a deity. The modern indigenous community still practice reciprocity but with a different approach. For instance, the community material offers as attempts to forge a reciprocal relationship. However, the success of these type of relationship depends on the trustworthiness of </w:t>
      </w:r>
      <w:r w:rsidR="001C7CB8">
        <w:rPr>
          <w:rFonts w:ascii="Times New Roman" w:hAnsi="Times New Roman" w:cs="Times New Roman"/>
          <w:sz w:val="24"/>
          <w:szCs w:val="24"/>
        </w:rPr>
        <w:t>the second party.</w:t>
      </w:r>
    </w:p>
    <w:p w:rsidR="001C7CB8" w:rsidP="00500D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principles of duality and reciprocity have survived among the indigenous Mesoamerican communities despite the Spanish conquest. The two principles are among the four that shaped their cultural, political, and social lives. </w:t>
      </w:r>
      <w:r w:rsidR="00E21142">
        <w:rPr>
          <w:rFonts w:ascii="Times New Roman" w:hAnsi="Times New Roman" w:cs="Times New Roman"/>
          <w:sz w:val="24"/>
          <w:szCs w:val="24"/>
        </w:rPr>
        <w:t>Their lives still revolve around these principles despite modernization.</w:t>
      </w:r>
    </w:p>
    <w:p w:rsidR="00E21142" w:rsidP="00500D8D">
      <w:pPr>
        <w:spacing w:line="480" w:lineRule="auto"/>
        <w:ind w:firstLine="720"/>
        <w:rPr>
          <w:rFonts w:ascii="Times New Roman" w:hAnsi="Times New Roman" w:cs="Times New Roman"/>
          <w:sz w:val="24"/>
          <w:szCs w:val="24"/>
        </w:rPr>
      </w:pPr>
    </w:p>
    <w:p w:rsidR="00E21142" w:rsidP="00500D8D">
      <w:pPr>
        <w:spacing w:line="480" w:lineRule="auto"/>
        <w:ind w:firstLine="720"/>
        <w:rPr>
          <w:rFonts w:ascii="Times New Roman" w:hAnsi="Times New Roman" w:cs="Times New Roman"/>
          <w:sz w:val="24"/>
          <w:szCs w:val="24"/>
        </w:rPr>
      </w:pPr>
    </w:p>
    <w:p w:rsidR="00E21142" w:rsidP="00500D8D">
      <w:pPr>
        <w:spacing w:line="480" w:lineRule="auto"/>
        <w:ind w:firstLine="720"/>
        <w:rPr>
          <w:rFonts w:ascii="Times New Roman" w:hAnsi="Times New Roman" w:cs="Times New Roman"/>
          <w:sz w:val="24"/>
          <w:szCs w:val="24"/>
        </w:rPr>
      </w:pPr>
    </w:p>
    <w:p w:rsidR="00E21142" w:rsidP="00E2114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E21142" w:rsidP="00E21142">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Karttunen, F. (1992). After the Conquest: The Survival of Indigenous Patters of Life and Belief. </w:t>
      </w:r>
      <w:r>
        <w:rPr>
          <w:i/>
          <w:iCs/>
          <w:noProof/>
        </w:rPr>
        <w:t>Journal of World History, 3(2)</w:t>
      </w:r>
      <w:r>
        <w:rPr>
          <w:noProof/>
        </w:rPr>
        <w:t>, 239-256.</w:t>
      </w:r>
    </w:p>
    <w:p w:rsidR="00E21142" w:rsidP="00E21142">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E21142" w:rsidP="00500D8D">
      <w:pPr>
        <w:spacing w:line="480" w:lineRule="auto"/>
        <w:ind w:firstLine="720"/>
        <w:rPr>
          <w:rFonts w:ascii="Times New Roman" w:hAnsi="Times New Roman" w:cs="Times New Roman"/>
          <w:sz w:val="24"/>
          <w:szCs w:val="24"/>
        </w:rPr>
      </w:pPr>
    </w:p>
    <w:p w:rsidR="00E21142" w:rsidP="00500D8D">
      <w:pPr>
        <w:spacing w:line="480" w:lineRule="auto"/>
        <w:ind w:firstLine="720"/>
        <w:rPr>
          <w:rFonts w:ascii="Times New Roman" w:hAnsi="Times New Roman" w:cs="Times New Roman"/>
          <w:sz w:val="24"/>
          <w:szCs w:val="24"/>
        </w:rPr>
      </w:pPr>
    </w:p>
    <w:p w:rsidR="00C704DF" w:rsidP="00500D8D">
      <w:pPr>
        <w:spacing w:line="480" w:lineRule="auto"/>
        <w:ind w:firstLine="720"/>
        <w:rPr>
          <w:rFonts w:ascii="Times New Roman" w:hAnsi="Times New Roman" w:cs="Times New Roman"/>
          <w:sz w:val="24"/>
          <w:szCs w:val="24"/>
        </w:rPr>
      </w:pPr>
    </w:p>
    <w:p w:rsidR="00067674" w:rsidP="00067674">
      <w:pPr>
        <w:spacing w:line="480" w:lineRule="auto"/>
        <w:ind w:firstLine="720"/>
        <w:rPr>
          <w:rFonts w:ascii="Times New Roman" w:hAnsi="Times New Roman" w:cs="Times New Roman"/>
          <w:sz w:val="24"/>
          <w:szCs w:val="24"/>
        </w:rPr>
      </w:pPr>
    </w:p>
    <w:p w:rsidR="0083493F" w:rsidRPr="0083493F">
      <w:pPr>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3F" w:rsidRPr="0083493F" w:rsidP="0083493F">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83493F">
      <w:rPr>
        <w:rFonts w:ascii="Times New Roman" w:hAnsi="Times New Roman" w:cs="Times New Roman"/>
        <w:sz w:val="24"/>
        <w:szCs w:val="24"/>
      </w:rPr>
      <w:fldChar w:fldCharType="begin"/>
    </w:r>
    <w:r w:rsidRPr="0083493F">
      <w:rPr>
        <w:rFonts w:ascii="Times New Roman" w:hAnsi="Times New Roman" w:cs="Times New Roman"/>
        <w:sz w:val="24"/>
        <w:szCs w:val="24"/>
      </w:rPr>
      <w:instrText xml:space="preserve"> PAGE   \* MERGEFORMAT </w:instrText>
    </w:r>
    <w:r w:rsidRPr="0083493F">
      <w:rPr>
        <w:rFonts w:ascii="Times New Roman" w:hAnsi="Times New Roman" w:cs="Times New Roman"/>
        <w:sz w:val="24"/>
        <w:szCs w:val="24"/>
      </w:rPr>
      <w:fldChar w:fldCharType="separate"/>
    </w:r>
    <w:r w:rsidR="00E21142">
      <w:rPr>
        <w:rFonts w:ascii="Times New Roman" w:hAnsi="Times New Roman" w:cs="Times New Roman"/>
        <w:noProof/>
        <w:sz w:val="24"/>
        <w:szCs w:val="24"/>
      </w:rPr>
      <w:t>3</w:t>
    </w:r>
    <w:r w:rsidRPr="0083493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93F"/>
    <w:rsid w:val="00067674"/>
    <w:rsid w:val="001C7CB8"/>
    <w:rsid w:val="00257DCC"/>
    <w:rsid w:val="0027024E"/>
    <w:rsid w:val="0033745D"/>
    <w:rsid w:val="003B7D01"/>
    <w:rsid w:val="003C5B41"/>
    <w:rsid w:val="0045400F"/>
    <w:rsid w:val="00483A4C"/>
    <w:rsid w:val="00500D8D"/>
    <w:rsid w:val="0056336F"/>
    <w:rsid w:val="006D3A75"/>
    <w:rsid w:val="006F5D18"/>
    <w:rsid w:val="00733B77"/>
    <w:rsid w:val="00754C8E"/>
    <w:rsid w:val="0083493F"/>
    <w:rsid w:val="00A60412"/>
    <w:rsid w:val="00BF42EB"/>
    <w:rsid w:val="00C704DF"/>
    <w:rsid w:val="00E1430A"/>
    <w:rsid w:val="00E21142"/>
    <w:rsid w:val="00E57528"/>
    <w:rsid w:val="00E92B54"/>
    <w:rsid w:val="00EC08A2"/>
    <w:rsid w:val="00F07043"/>
    <w:rsid w:val="00F573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4D09EB8-43E9-436D-8137-E63EA559E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93F"/>
  </w:style>
  <w:style w:type="paragraph" w:styleId="Footer">
    <w:name w:val="footer"/>
    <w:basedOn w:val="Normal"/>
    <w:link w:val="FooterChar"/>
    <w:uiPriority w:val="99"/>
    <w:unhideWhenUsed/>
    <w:rsid w:val="00834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93F"/>
  </w:style>
  <w:style w:type="paragraph" w:styleId="Bibliography">
    <w:name w:val="Bibliography"/>
    <w:basedOn w:val="Normal"/>
    <w:next w:val="Normal"/>
    <w:uiPriority w:val="37"/>
    <w:unhideWhenUsed/>
    <w:rsid w:val="00E21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Fra92</b:Tag>
    <b:SourceType>JournalArticle</b:SourceType>
    <b:Guid>{136485CD-7196-42C2-8658-92E5B50C7409}</b:Guid>
    <b:Title>After the Conquest: The Survival of Indigenous Patters of Life and Belief</b:Title>
    <b:Year>1992</b:Year>
    <b:Author>
      <b:Author>
        <b:NameList>
          <b:Person>
            <b:Last>Karttunen</b:Last>
            <b:First>Frances</b:First>
          </b:Person>
        </b:NameList>
      </b:Author>
    </b:Author>
    <b:JournalName>Journal of World History, 3(2)</b:JournalName>
    <b:Pages>239-256</b:Pages>
    <b:RefOrder>1</b:RefOrder>
  </b:Source>
</b:Sources>
</file>

<file path=customXml/itemProps1.xml><?xml version="1.0" encoding="utf-8"?>
<ds:datastoreItem xmlns:ds="http://schemas.openxmlformats.org/officeDocument/2006/customXml" ds:itemID="{18DF1957-31C2-4647-A3FC-FBB263B7C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3</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9</cp:revision>
  <dcterms:created xsi:type="dcterms:W3CDTF">2018-11-20T08:11:00Z</dcterms:created>
  <dcterms:modified xsi:type="dcterms:W3CDTF">2018-11-20T12:14:00Z</dcterms:modified>
</cp:coreProperties>
</file>