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Garamond" w:cs="Garamond" w:hAnsi="Garamond" w:eastAsia="Garamond"/>
          <w:b w:val="1"/>
          <w:bCs w:val="1"/>
          <w:u w:val="single"/>
        </w:rPr>
      </w:pPr>
      <w:r>
        <w:rPr>
          <w:rFonts w:ascii="Garamond" w:hAnsi="Garamond"/>
          <w:b w:val="1"/>
          <w:bCs w:val="1"/>
          <w:u w:val="single"/>
          <w:rtl w:val="0"/>
          <w:lang w:val="de-DE"/>
        </w:rPr>
        <w:t>MIDTERM EXAM</w:t>
      </w:r>
    </w:p>
    <w:p>
      <w:pPr>
        <w:pStyle w:val="Body"/>
        <w:jc w:val="center"/>
        <w:rPr>
          <w:rFonts w:ascii="Garamond" w:cs="Garamond" w:hAnsi="Garamond" w:eastAsia="Garamond"/>
          <w:b w:val="1"/>
          <w:bCs w:val="1"/>
          <w:u w:val="single"/>
        </w:rPr>
      </w:pPr>
      <w:r>
        <w:rPr>
          <w:rFonts w:ascii="Garamond" w:hAnsi="Garamond"/>
          <w:b w:val="1"/>
          <w:bCs w:val="1"/>
          <w:u w:val="single"/>
          <w:rtl w:val="0"/>
          <w:lang w:val="en-US"/>
        </w:rPr>
        <w:t>PHILOSOPHY OF LAW</w:t>
      </w:r>
    </w:p>
    <w:p>
      <w:pPr>
        <w:pStyle w:val="Body"/>
        <w:jc w:val="center"/>
        <w:rPr>
          <w:rFonts w:ascii="Garamond" w:cs="Garamond" w:hAnsi="Garamond" w:eastAsia="Garamond"/>
        </w:rPr>
      </w:pPr>
    </w:p>
    <w:p>
      <w:pPr>
        <w:pStyle w:val="Body"/>
        <w:jc w:val="center"/>
        <w:rPr>
          <w:rFonts w:ascii="Garamond" w:cs="Garamond" w:hAnsi="Garamond" w:eastAsia="Garamond"/>
        </w:rPr>
      </w:pPr>
    </w:p>
    <w:p>
      <w:pPr>
        <w:pStyle w:val="Body"/>
        <w:rPr>
          <w:rFonts w:ascii="Garamond" w:cs="Garamond" w:hAnsi="Garamond" w:eastAsia="Garamond"/>
          <w:b w:val="1"/>
          <w:bCs w:val="1"/>
          <w:i w:val="1"/>
          <w:iCs w:val="1"/>
        </w:rPr>
      </w:pPr>
      <w:r>
        <w:rPr>
          <w:rFonts w:ascii="Garamond" w:hAnsi="Garamond"/>
          <w:b w:val="1"/>
          <w:bCs w:val="1"/>
          <w:i w:val="1"/>
          <w:iCs w:val="1"/>
          <w:rtl w:val="0"/>
          <w:lang w:val="en-US"/>
        </w:rPr>
        <w:t xml:space="preserve">Please answer all </w:t>
      </w:r>
      <w:r>
        <w:rPr>
          <w:rFonts w:ascii="Garamond" w:hAnsi="Garamond"/>
          <w:b w:val="1"/>
          <w:bCs w:val="1"/>
          <w:i w:val="1"/>
          <w:iCs w:val="1"/>
          <w:rtl w:val="0"/>
          <w:lang w:val="en-US"/>
        </w:rPr>
        <w:t xml:space="preserve">4 </w:t>
      </w:r>
      <w:r>
        <w:rPr>
          <w:rFonts w:ascii="Garamond" w:hAnsi="Garamond"/>
          <w:b w:val="1"/>
          <w:bCs w:val="1"/>
          <w:i w:val="1"/>
          <w:iCs w:val="1"/>
          <w:rtl w:val="0"/>
          <w:lang w:val="it-IT"/>
        </w:rPr>
        <w:t xml:space="preserve">questions.  </w:t>
      </w:r>
    </w:p>
    <w:p>
      <w:pPr>
        <w:pStyle w:val="Body"/>
        <w:ind w:left="1080" w:firstLine="0"/>
        <w:rPr>
          <w:rFonts w:ascii="Garamond" w:cs="Garamond" w:hAnsi="Garamond" w:eastAsia="Garamond"/>
        </w:rPr>
      </w:pPr>
    </w:p>
    <w:p>
      <w:pPr>
        <w:pStyle w:val="Body"/>
        <w:rPr>
          <w:rFonts w:ascii="Garamond" w:cs="Garamond" w:hAnsi="Garamond" w:eastAsia="Garamond"/>
        </w:rPr>
      </w:pPr>
    </w:p>
    <w:p>
      <w:pPr>
        <w:pStyle w:val="Body"/>
        <w:ind w:left="1080" w:firstLine="0"/>
        <w:rPr>
          <w:rFonts w:ascii="Garamond" w:cs="Garamond" w:hAnsi="Garamond" w:eastAsia="Garamond"/>
        </w:rPr>
      </w:pPr>
    </w:p>
    <w:p>
      <w:pPr>
        <w:pStyle w:val="Body"/>
        <w:numPr>
          <w:ilvl w:val="0"/>
          <w:numId w:val="2"/>
        </w:numPr>
        <w:bidi w:val="0"/>
        <w:ind w:right="0"/>
        <w:jc w:val="left"/>
        <w:rPr>
          <w:rFonts w:ascii="Garamond" w:hAnsi="Garamond"/>
          <w:rtl w:val="0"/>
          <w:lang w:val="en-US"/>
        </w:rPr>
      </w:pPr>
      <w:r>
        <w:rPr>
          <w:rFonts w:ascii="Garamond" w:hAnsi="Garamond"/>
          <w:rtl w:val="0"/>
          <w:lang w:val="en-US"/>
        </w:rPr>
        <w:t>John Locke argued for a Social Contract based on consent.  What was his argument?  Specifically:</w:t>
      </w:r>
    </w:p>
    <w:p>
      <w:pPr>
        <w:pStyle w:val="Body"/>
        <w:numPr>
          <w:ilvl w:val="1"/>
          <w:numId w:val="2"/>
        </w:numPr>
        <w:bidi w:val="0"/>
        <w:ind w:right="0"/>
        <w:jc w:val="left"/>
        <w:rPr>
          <w:rFonts w:ascii="Garamond" w:hAnsi="Garamond"/>
          <w:rtl w:val="0"/>
          <w:lang w:val="en-US"/>
        </w:rPr>
      </w:pPr>
      <w:r>
        <w:rPr>
          <w:rFonts w:ascii="Garamond" w:hAnsi="Garamond"/>
          <w:rtl w:val="0"/>
          <w:lang w:val="en-US"/>
        </w:rPr>
        <w:t>On what basis did he reject state authoritarianism? (be specific!)</w:t>
      </w:r>
    </w:p>
    <w:p>
      <w:pPr>
        <w:pStyle w:val="Body"/>
        <w:numPr>
          <w:ilvl w:val="1"/>
          <w:numId w:val="2"/>
        </w:numPr>
        <w:bidi w:val="0"/>
        <w:ind w:right="0"/>
        <w:jc w:val="left"/>
        <w:rPr>
          <w:rFonts w:ascii="Garamond" w:hAnsi="Garamond"/>
          <w:rtl w:val="0"/>
          <w:lang w:val="en-US"/>
        </w:rPr>
      </w:pPr>
      <w:r>
        <w:rPr>
          <w:rFonts w:ascii="Garamond" w:hAnsi="Garamond"/>
          <w:rtl w:val="0"/>
          <w:lang w:val="en-US"/>
        </w:rPr>
        <w:t xml:space="preserve">What is the process by which a legitimate state arises? (Be sure to say something about what some of the functions of a civil government are) </w:t>
      </w:r>
    </w:p>
    <w:p>
      <w:pPr>
        <w:pStyle w:val="Body"/>
        <w:numPr>
          <w:ilvl w:val="1"/>
          <w:numId w:val="2"/>
        </w:numPr>
        <w:bidi w:val="0"/>
        <w:ind w:right="0"/>
        <w:jc w:val="left"/>
        <w:rPr>
          <w:rFonts w:ascii="Garamond" w:hAnsi="Garamond"/>
          <w:rtl w:val="0"/>
          <w:lang w:val="en-US"/>
        </w:rPr>
      </w:pPr>
      <w:r>
        <w:rPr>
          <w:rFonts w:ascii="Garamond" w:hAnsi="Garamond"/>
          <w:rtl w:val="0"/>
          <w:lang w:val="en-US"/>
        </w:rPr>
        <w:t>What, according to Locke, are the limits of state power, and what are the justifications for rebellion?</w:t>
      </w:r>
    </w:p>
    <w:p>
      <w:pPr>
        <w:pStyle w:val="Body"/>
        <w:numPr>
          <w:ilvl w:val="1"/>
          <w:numId w:val="2"/>
        </w:numPr>
        <w:bidi w:val="0"/>
        <w:ind w:right="0"/>
        <w:jc w:val="left"/>
        <w:rPr>
          <w:rFonts w:ascii="Garamond" w:hAnsi="Garamond"/>
          <w:rtl w:val="0"/>
          <w:lang w:val="en-US"/>
        </w:rPr>
      </w:pPr>
      <w:r>
        <w:rPr>
          <w:rFonts w:ascii="Garamond" w:hAnsi="Garamond"/>
          <w:rtl w:val="0"/>
          <w:lang w:val="en-US"/>
        </w:rPr>
        <w:t>Are there any problems with basing a social contract on consent?  If so, what are they, and if not, why not?</w:t>
      </w:r>
    </w:p>
    <w:p>
      <w:pPr>
        <w:pStyle w:val="Body"/>
        <w:ind w:left="1080" w:firstLine="0"/>
        <w:rPr>
          <w:rFonts w:ascii="Garamond" w:cs="Garamond" w:hAnsi="Garamond" w:eastAsia="Garamond"/>
        </w:rPr>
      </w:pPr>
    </w:p>
    <w:p>
      <w:pPr>
        <w:pStyle w:val="Body"/>
        <w:numPr>
          <w:ilvl w:val="0"/>
          <w:numId w:val="2"/>
        </w:numPr>
        <w:bidi w:val="0"/>
        <w:ind w:right="0"/>
        <w:jc w:val="left"/>
        <w:rPr>
          <w:rFonts w:ascii="Garamond" w:hAnsi="Garamond"/>
          <w:rtl w:val="0"/>
          <w:lang w:val="en-US"/>
        </w:rPr>
      </w:pPr>
      <w:r>
        <w:rPr>
          <w:rFonts w:ascii="Garamond" w:hAnsi="Garamond"/>
          <w:rtl w:val="0"/>
          <w:lang w:val="en-US"/>
        </w:rPr>
        <w:t>Suppose that the federal government has passed a law that criminalizes texting while walking.  Explain how this law should be evaluated from each of the following perspectives:</w:t>
      </w:r>
    </w:p>
    <w:p>
      <w:pPr>
        <w:pStyle w:val="Body"/>
        <w:numPr>
          <w:ilvl w:val="1"/>
          <w:numId w:val="2"/>
        </w:numPr>
        <w:bidi w:val="0"/>
        <w:ind w:right="0"/>
        <w:jc w:val="left"/>
        <w:rPr>
          <w:rFonts w:ascii="Garamond" w:hAnsi="Garamond"/>
          <w:rtl w:val="0"/>
          <w:lang w:val="de-DE"/>
        </w:rPr>
      </w:pPr>
      <w:r>
        <w:rPr>
          <w:rFonts w:ascii="Garamond" w:hAnsi="Garamond"/>
          <w:rtl w:val="0"/>
          <w:lang w:val="de-DE"/>
        </w:rPr>
        <w:t>Mill</w:t>
      </w:r>
      <w:r>
        <w:rPr>
          <w:rFonts w:ascii="Garamond" w:hAnsi="Garamond" w:hint="default"/>
          <w:rtl w:val="0"/>
          <w:lang w:val="en-US"/>
        </w:rPr>
        <w:t>’</w:t>
      </w:r>
      <w:r>
        <w:rPr>
          <w:rFonts w:ascii="Garamond" w:hAnsi="Garamond"/>
          <w:rtl w:val="0"/>
          <w:lang w:val="en-US"/>
        </w:rPr>
        <w:t>s Harm Principle</w:t>
      </w:r>
    </w:p>
    <w:p>
      <w:pPr>
        <w:pStyle w:val="Body"/>
        <w:numPr>
          <w:ilvl w:val="1"/>
          <w:numId w:val="2"/>
        </w:numPr>
        <w:bidi w:val="0"/>
        <w:ind w:right="0"/>
        <w:jc w:val="left"/>
        <w:rPr>
          <w:rFonts w:ascii="Garamond" w:hAnsi="Garamond"/>
          <w:rtl w:val="0"/>
          <w:lang w:val="en-US"/>
        </w:rPr>
      </w:pPr>
      <w:r>
        <w:rPr>
          <w:rFonts w:ascii="Garamond" w:hAnsi="Garamond"/>
          <w:rtl w:val="0"/>
          <w:lang w:val="en-US"/>
        </w:rPr>
        <w:t xml:space="preserve">Our Constitutional right to privacy as established by </w:t>
      </w:r>
      <w:r>
        <w:rPr>
          <w:rFonts w:ascii="Garamond" w:hAnsi="Garamond"/>
          <w:i w:val="1"/>
          <w:iCs w:val="1"/>
          <w:rtl w:val="0"/>
          <w:lang w:val="en-US"/>
        </w:rPr>
        <w:t xml:space="preserve">Griswold </w:t>
      </w:r>
      <w:r>
        <w:rPr>
          <w:rFonts w:ascii="Garamond" w:hAnsi="Garamond"/>
          <w:rtl w:val="0"/>
          <w:lang w:val="en-US"/>
        </w:rPr>
        <w:t>and subsequent cases (</w:t>
      </w:r>
      <w:r>
        <w:rPr>
          <w:rFonts w:ascii="Garamond" w:hAnsi="Garamond"/>
          <w:i w:val="1"/>
          <w:iCs w:val="1"/>
          <w:rtl w:val="0"/>
          <w:lang w:val="en-US"/>
        </w:rPr>
        <w:t>Roe v. Wade</w:t>
      </w:r>
      <w:r>
        <w:rPr>
          <w:rFonts w:ascii="Garamond" w:hAnsi="Garamond"/>
          <w:rtl w:val="0"/>
          <w:lang w:val="fr-FR"/>
        </w:rPr>
        <w:t>, etc</w:t>
      </w:r>
      <w:r>
        <w:rPr>
          <w:rFonts w:ascii="Garamond" w:hAnsi="Garamond" w:hint="default"/>
          <w:rtl w:val="0"/>
          <w:lang w:val="en-US"/>
        </w:rPr>
        <w:t>…</w:t>
      </w:r>
      <w:r>
        <w:rPr>
          <w:rFonts w:ascii="Garamond" w:hAnsi="Garamond"/>
          <w:rtl w:val="0"/>
        </w:rPr>
        <w:t>.)</w:t>
      </w:r>
    </w:p>
    <w:p>
      <w:pPr>
        <w:pStyle w:val="Body"/>
        <w:numPr>
          <w:ilvl w:val="1"/>
          <w:numId w:val="2"/>
        </w:numPr>
        <w:bidi w:val="0"/>
        <w:ind w:right="0"/>
        <w:jc w:val="left"/>
        <w:rPr>
          <w:rFonts w:ascii="Garamond" w:hAnsi="Garamond"/>
          <w:rtl w:val="0"/>
          <w:lang w:val="de-DE"/>
        </w:rPr>
      </w:pPr>
      <w:r>
        <w:rPr>
          <w:rFonts w:ascii="Garamond" w:hAnsi="Garamond"/>
          <w:rtl w:val="0"/>
          <w:lang w:val="de-DE"/>
        </w:rPr>
        <w:t>Robert Bork</w:t>
      </w:r>
      <w:r>
        <w:rPr>
          <w:rFonts w:ascii="Garamond" w:hAnsi="Garamond" w:hint="default"/>
          <w:rtl w:val="0"/>
          <w:lang w:val="en-US"/>
        </w:rPr>
        <w:t>’</w:t>
      </w:r>
      <w:r>
        <w:rPr>
          <w:rFonts w:ascii="Garamond" w:hAnsi="Garamond"/>
          <w:rtl w:val="0"/>
          <w:lang w:val="fr-FR"/>
        </w:rPr>
        <w:t>s original intent doctrine.</w:t>
      </w:r>
    </w:p>
    <w:p>
      <w:pPr>
        <w:pStyle w:val="Body"/>
        <w:numPr>
          <w:ilvl w:val="1"/>
          <w:numId w:val="2"/>
        </w:numPr>
        <w:bidi w:val="0"/>
        <w:ind w:right="0"/>
        <w:jc w:val="left"/>
        <w:rPr>
          <w:rFonts w:ascii="Garamond" w:hAnsi="Garamond"/>
          <w:rtl w:val="0"/>
          <w:lang w:val="en-US"/>
        </w:rPr>
      </w:pPr>
      <w:r>
        <w:rPr>
          <w:rFonts w:ascii="Garamond" w:hAnsi="Garamond"/>
          <w:rtl w:val="0"/>
          <w:lang w:val="en-US"/>
        </w:rPr>
        <w:t>Do any of these perspectives provide us with an adequate basis for evaluating laws prohibiting texting while walking?</w:t>
      </w:r>
    </w:p>
    <w:p>
      <w:pPr>
        <w:pStyle w:val="Body"/>
        <w:rPr>
          <w:rFonts w:ascii="Garamond" w:cs="Garamond" w:hAnsi="Garamond" w:eastAsia="Garamond"/>
        </w:rPr>
      </w:pPr>
    </w:p>
    <w:p>
      <w:pPr>
        <w:pStyle w:val="Body"/>
        <w:rPr>
          <w:rFonts w:ascii="Garamond" w:cs="Garamond" w:hAnsi="Garamond" w:eastAsia="Garamond"/>
        </w:rPr>
      </w:pPr>
      <w:r>
        <w:rPr>
          <w:rFonts w:ascii="Garamond" w:cs="Garamond" w:hAnsi="Garamond" w:eastAsia="Garamond"/>
        </w:rPr>
        <w:tab/>
      </w:r>
    </w:p>
    <w:p>
      <w:pPr>
        <w:pStyle w:val="Body"/>
        <w:numPr>
          <w:ilvl w:val="0"/>
          <w:numId w:val="2"/>
        </w:numPr>
        <w:bidi w:val="0"/>
        <w:ind w:right="0"/>
        <w:jc w:val="left"/>
        <w:rPr>
          <w:rFonts w:ascii="Garamond" w:hAnsi="Garamond"/>
          <w:rtl w:val="0"/>
          <w:lang w:val="en-US"/>
        </w:rPr>
      </w:pPr>
      <w:r>
        <w:rPr>
          <w:rFonts w:ascii="Garamond" w:hAnsi="Garamond"/>
          <w:b w:val="1"/>
          <w:bCs w:val="1"/>
          <w:i w:val="1"/>
          <w:iCs w:val="1"/>
          <w:u w:val="single"/>
          <w:rtl w:val="0"/>
          <w:lang w:val="en-US"/>
        </w:rPr>
        <w:t>(We will be talking about this topic next week!)</w:t>
      </w:r>
      <w:r>
        <w:rPr>
          <w:rFonts w:ascii="Garamond" w:hAnsi="Garamond"/>
          <w:i w:val="1"/>
          <w:iCs w:val="1"/>
          <w:rtl w:val="0"/>
          <w:lang w:val="en-US"/>
        </w:rPr>
        <w:t xml:space="preserve">  District of Columbia v. Heller</w:t>
      </w:r>
      <w:r>
        <w:rPr>
          <w:rFonts w:ascii="Garamond" w:hAnsi="Garamond"/>
          <w:rtl w:val="0"/>
          <w:lang w:val="en-US"/>
        </w:rPr>
        <w:t xml:space="preserve"> is considered to be a significant ruling in the history of the debates about the Second Amendment.</w:t>
      </w:r>
    </w:p>
    <w:p>
      <w:pPr>
        <w:pStyle w:val="Body"/>
        <w:numPr>
          <w:ilvl w:val="1"/>
          <w:numId w:val="2"/>
        </w:numPr>
        <w:bidi w:val="0"/>
        <w:ind w:right="0"/>
        <w:jc w:val="left"/>
        <w:rPr>
          <w:rFonts w:ascii="Garamond" w:hAnsi="Garamond"/>
          <w:rtl w:val="0"/>
          <w:lang w:val="en-US"/>
        </w:rPr>
      </w:pPr>
      <w:r>
        <w:rPr>
          <w:rFonts w:ascii="Garamond" w:hAnsi="Garamond"/>
          <w:rtl w:val="0"/>
          <w:lang w:val="en-US"/>
        </w:rPr>
        <w:t>What are some of the difficulties in interpreting/agreeing on the meaning of the Second Amendment?</w:t>
      </w:r>
    </w:p>
    <w:p>
      <w:pPr>
        <w:pStyle w:val="Body"/>
        <w:numPr>
          <w:ilvl w:val="1"/>
          <w:numId w:val="2"/>
        </w:numPr>
        <w:bidi w:val="0"/>
        <w:ind w:right="0"/>
        <w:jc w:val="left"/>
        <w:rPr>
          <w:rFonts w:ascii="Garamond" w:hAnsi="Garamond"/>
          <w:i w:val="1"/>
          <w:iCs w:val="1"/>
          <w:rtl w:val="0"/>
          <w:lang w:val="en-US"/>
        </w:rPr>
      </w:pPr>
      <w:r>
        <w:rPr>
          <w:rFonts w:ascii="Garamond" w:hAnsi="Garamond"/>
          <w:i w:val="0"/>
          <w:iCs w:val="0"/>
          <w:rtl w:val="0"/>
          <w:lang w:val="en-US"/>
        </w:rPr>
        <w:t>What was the case about, and how was it decided?  (</w:t>
      </w:r>
      <w:r>
        <w:rPr>
          <w:rFonts w:ascii="Garamond" w:hAnsi="Garamond"/>
          <w:i w:val="1"/>
          <w:iCs w:val="1"/>
          <w:rtl w:val="0"/>
          <w:lang w:val="en-US"/>
        </w:rPr>
        <w:t>Make sure that you explain the majority opinion in your answer.)</w:t>
      </w:r>
    </w:p>
    <w:p>
      <w:pPr>
        <w:pStyle w:val="Body"/>
        <w:numPr>
          <w:ilvl w:val="1"/>
          <w:numId w:val="2"/>
        </w:numPr>
        <w:bidi w:val="0"/>
        <w:ind w:right="0"/>
        <w:jc w:val="left"/>
        <w:rPr>
          <w:rFonts w:ascii="Garamond" w:hAnsi="Garamond"/>
          <w:i w:val="1"/>
          <w:iCs w:val="1"/>
          <w:rtl w:val="0"/>
          <w:lang w:val="en-US"/>
        </w:rPr>
      </w:pPr>
      <w:r>
        <w:rPr>
          <w:rFonts w:ascii="Garamond" w:hAnsi="Garamond"/>
          <w:i w:val="0"/>
          <w:iCs w:val="0"/>
          <w:rtl w:val="0"/>
          <w:lang w:val="en-US"/>
        </w:rPr>
        <w:t>Do you think that it was decided correctly?  Why or why not?</w:t>
      </w:r>
    </w:p>
    <w:p>
      <w:pPr>
        <w:pStyle w:val="Body"/>
        <w:numPr>
          <w:ilvl w:val="1"/>
          <w:numId w:val="2"/>
        </w:numPr>
        <w:bidi w:val="0"/>
        <w:ind w:right="0"/>
        <w:jc w:val="left"/>
        <w:rPr>
          <w:rFonts w:ascii="Garamond" w:hAnsi="Garamond"/>
          <w:i w:val="1"/>
          <w:iCs w:val="1"/>
          <w:rtl w:val="0"/>
          <w:lang w:val="en-US"/>
        </w:rPr>
      </w:pPr>
      <w:r>
        <w:rPr>
          <w:rFonts w:ascii="Garamond" w:hAnsi="Garamond"/>
          <w:i w:val="0"/>
          <w:iCs w:val="0"/>
          <w:rtl w:val="0"/>
          <w:lang w:val="en-US"/>
        </w:rPr>
        <w:t xml:space="preserve">If you agree with the decision, write a concurring opinion about why you agree.  If you disagree with the decision, write a dissent about why you do not.  </w:t>
      </w:r>
      <w:r>
        <w:rPr>
          <w:rFonts w:ascii="Garamond" w:hAnsi="Garamond"/>
          <w:i w:val="1"/>
          <w:iCs w:val="1"/>
          <w:rtl w:val="0"/>
          <w:lang w:val="en-US"/>
        </w:rPr>
        <w:t>(While you can, of course, refer to the existing majority opinion and the dissenting opinion, your arguments should be your own.)</w:t>
      </w:r>
    </w:p>
    <w:p>
      <w:pPr>
        <w:pStyle w:val="Body"/>
        <w:ind w:left="360" w:firstLine="0"/>
        <w:rPr>
          <w:rFonts w:ascii="Garamond" w:cs="Garamond" w:hAnsi="Garamond" w:eastAsia="Garamond"/>
        </w:rPr>
      </w:pPr>
    </w:p>
    <w:p>
      <w:pPr>
        <w:pStyle w:val="Body"/>
        <w:ind w:left="360" w:firstLine="0"/>
        <w:rPr>
          <w:rFonts w:ascii="Garamond" w:cs="Garamond" w:hAnsi="Garamond" w:eastAsia="Garamond"/>
        </w:rPr>
      </w:pPr>
      <w:r>
        <w:rPr>
          <w:rFonts w:ascii="Garamond" w:hAnsi="Garamond"/>
          <w:rtl w:val="0"/>
          <w:lang w:val="en-US"/>
        </w:rPr>
        <w:t xml:space="preserve">4.          </w:t>
      </w:r>
      <w:r>
        <w:rPr>
          <w:rFonts w:ascii="Garamond" w:hAnsi="Garamond"/>
          <w:rtl w:val="0"/>
        </w:rPr>
        <w:t xml:space="preserve"> </w:t>
      </w:r>
      <w:r>
        <w:rPr>
          <w:rFonts w:ascii="Garamond" w:hAnsi="Garamond"/>
          <w:sz w:val="26"/>
          <w:szCs w:val="26"/>
          <w:rtl w:val="0"/>
          <w:lang w:val="en-US"/>
        </w:rPr>
        <w:t>Is there an obligation to obey the law?  If yes, then where does our obligation to obey the law come from?  If not, what are the (ethical, practical, political) justifications for disobeying it?  In other words, can we justify acts of civil (or not so civil) disobedience, and if so, how?</w:t>
      </w:r>
    </w:p>
    <w:p>
      <w:pPr>
        <w:pStyle w:val="Body"/>
        <w:rPr>
          <w:rFonts w:ascii="Garamond" w:cs="Garamond" w:hAnsi="Garamond" w:eastAsia="Garamond"/>
        </w:rPr>
      </w:pPr>
    </w:p>
    <w:p>
      <w:pPr>
        <w:pStyle w:val="Body"/>
      </w:pPr>
      <w:r>
        <w:rPr>
          <w:rFonts w:ascii="Garamond" w:hAnsi="Garamond"/>
          <w:i w:val="1"/>
          <w:iCs w:val="1"/>
          <w:rtl w:val="0"/>
          <w:lang w:val="en-US"/>
        </w:rPr>
        <w:t>In answering this question, please take into account not only the readings on civil disobedience, but also the material on John Locke and the problems with consent readings.</w:t>
      </w:r>
      <w:r>
        <w:rPr>
          <w:rFonts w:ascii="Garamond" w:hAnsi="Garamond"/>
          <w:rtl w:val="0"/>
        </w:rPr>
        <w:t xml:space="preserve"> </w:t>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aramon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620"/>
        <w:tab w:val="clear" w:pos="8640"/>
      </w:tabs>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s>
        <w:ind w:left="2160" w:hanging="2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s>
        <w:ind w:left="4320" w:hanging="2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s>
        <w:ind w:left="6480" w:hanging="2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