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 xml:space="preserve">From your reading and other sources, write a 500-750 word persuasive essay to your fellow teachers describing the benefits of strategies that encourage vocabulary development within the pre-production and early production stages of language acquisition. 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These strategies should transcend all content areas. Describe the Silent Period and how it affects vocabulary development. How could this be accounted for within your teaching?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Prepare this assignment according to the guidelines found in the APA Style Guide, located in the Student Success Center. An abstract is not required.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This assignment uses a grading rubric. Review the rubric prior to beginning the assignment to become familiar with the expectations for successful completion.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You are required to submit this assignment to Turnitin.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666666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666666"/>
          <w:sz w:val="24"/>
          <w:szCs w:val="24"/>
          <w:shd w:val="clear" w:color="auto" w:fill="ffffff"/>
          <w:rtl w:val="0"/>
          <w:lang w:val="en-US"/>
        </w:rPr>
        <w:t>1. English Language Learning and Leadership: Putting It All Together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 xml:space="preserve">Read </w:t>
      </w:r>
      <w:r>
        <w:rPr>
          <w:rFonts w:ascii="Trebuchet MS" w:hAnsi="Trebuchet MS" w:hint="default"/>
          <w:color w:val="333333"/>
          <w:sz w:val="24"/>
          <w:szCs w:val="24"/>
          <w:shd w:val="clear" w:color="auto" w:fill="ffffff"/>
          <w:rtl w:val="0"/>
        </w:rPr>
        <w:t>“</w:t>
      </w: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>English Language Learning and Leadership: Putting It All Together,</w:t>
      </w:r>
      <w:r>
        <w:rPr>
          <w:rFonts w:ascii="Trebuchet MS" w:hAnsi="Trebuchet MS" w:hint="default"/>
          <w:color w:val="333333"/>
          <w:sz w:val="24"/>
          <w:szCs w:val="24"/>
          <w:shd w:val="clear" w:color="auto" w:fill="ffffff"/>
          <w:rtl w:val="0"/>
        </w:rPr>
        <w:t xml:space="preserve">” </w:t>
      </w: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 xml:space="preserve">by Lundquist and Hill, from </w:t>
      </w:r>
      <w:r>
        <w:rPr>
          <w:rFonts w:ascii="Trebuchet MS" w:hAnsi="Trebuchet MS"/>
          <w:i w:val="1"/>
          <w:iCs w:val="1"/>
          <w:color w:val="333333"/>
          <w:sz w:val="24"/>
          <w:szCs w:val="24"/>
          <w:shd w:val="clear" w:color="auto" w:fill="ffffff"/>
          <w:rtl w:val="0"/>
          <w:lang w:val="it-IT"/>
        </w:rPr>
        <w:t xml:space="preserve">Phi Delta Kappan </w:t>
      </w: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</w:rPr>
        <w:t>(2009).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05679f"/>
          <w:sz w:val="24"/>
          <w:szCs w:val="24"/>
          <w:shd w:val="clear" w:color="auto" w:fill="ffffff"/>
          <w:rtl w:val="0"/>
        </w:rPr>
        <w:fldChar w:fldCharType="begin" w:fldLock="0"/>
      </w:r>
      <w:r>
        <w:rPr>
          <w:rFonts w:ascii="Trebuchet MS" w:cs="Trebuchet MS" w:hAnsi="Trebuchet MS" w:eastAsia="Trebuchet MS"/>
          <w:color w:val="05679f"/>
          <w:sz w:val="24"/>
          <w:szCs w:val="24"/>
          <w:shd w:val="clear" w:color="auto" w:fill="ffffff"/>
          <w:rtl w:val="0"/>
        </w:rPr>
        <w:instrText xml:space="preserve"> HYPERLINK "https://lc-ugrad3.gcu.edu/learningPlatform/externalLinks/externalLinks.html?operation=redirectToExternalLink&amp;externalLink=https%3A%2F%2Flopes.idm.oclc.org%2Flogin%3Furl%3Dhttp%3A%2F%2Fsearch.ebscohost.com%2Flogin.aspx%3Fdirect%3Dtrue%26db%3Dehh%26AN%3D45086079%26site%3Deds-live%26scope%3Dsite"</w:instrText>
      </w:r>
      <w:r>
        <w:rPr>
          <w:rFonts w:ascii="Trebuchet MS" w:cs="Trebuchet MS" w:hAnsi="Trebuchet MS" w:eastAsia="Trebuchet MS"/>
          <w:color w:val="05679f"/>
          <w:sz w:val="24"/>
          <w:szCs w:val="24"/>
          <w:shd w:val="clear" w:color="auto" w:fill="ffffff"/>
          <w:rtl w:val="0"/>
        </w:rPr>
        <w:fldChar w:fldCharType="separate" w:fldLock="0"/>
      </w:r>
      <w:r>
        <w:rPr>
          <w:rFonts w:ascii="Trebuchet MS" w:hAnsi="Trebuchet MS"/>
          <w:color w:val="05679f"/>
          <w:sz w:val="24"/>
          <w:szCs w:val="24"/>
          <w:shd w:val="clear" w:color="auto" w:fill="ffffff"/>
          <w:rtl w:val="0"/>
          <w:lang w:val="en-US"/>
        </w:rPr>
        <w:t>https://lopes.idm.oclc.org/login?url=http://search.ebscohost.com/login.aspx?direct=true&amp;db=ehh&amp;AN=45086079&amp;site=eds-live&amp;scope=site</w:t>
      </w:r>
      <w:r>
        <w:rPr>
          <w:rFonts w:ascii="Trebuchet MS" w:cs="Trebuchet MS" w:hAnsi="Trebuchet MS" w:eastAsia="Trebuchet MS"/>
          <w:color w:val="05679f"/>
          <w:sz w:val="24"/>
          <w:szCs w:val="24"/>
          <w:shd w:val="clear" w:color="auto" w:fill="ffffff"/>
          <w:rtl w:val="0"/>
        </w:rPr>
        <w:fldChar w:fldCharType="end" w:fldLock="0"/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666666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666666"/>
          <w:sz w:val="24"/>
          <w:szCs w:val="24"/>
          <w:shd w:val="clear" w:color="auto" w:fill="ffffff"/>
          <w:rtl w:val="0"/>
          <w:lang w:val="en-US"/>
        </w:rPr>
        <w:t>2. Pre-production and the Silent Period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>Read "Pre-production and the Silent Period" by Haynes, located on the Everything ESL website.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05679f"/>
          <w:sz w:val="24"/>
          <w:szCs w:val="24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05679f"/>
          <w:sz w:val="24"/>
          <w:szCs w:val="24"/>
          <w:shd w:val="clear" w:color="auto" w:fill="ffffff"/>
          <w:rtl w:val="0"/>
        </w:rPr>
        <w:fldChar w:fldCharType="begin" w:fldLock="0"/>
      </w:r>
      <w:r>
        <w:rPr>
          <w:rFonts w:ascii="Trebuchet MS" w:cs="Trebuchet MS" w:hAnsi="Trebuchet MS" w:eastAsia="Trebuchet MS"/>
          <w:color w:val="05679f"/>
          <w:sz w:val="24"/>
          <w:szCs w:val="24"/>
          <w:shd w:val="clear" w:color="auto" w:fill="ffffff"/>
          <w:rtl w:val="0"/>
        </w:rPr>
        <w:instrText xml:space="preserve"> HYPERLINK "https://lc-ugrad3.gcu.edu/learningPlatform/externalLinks/externalLinks.html?operation=redirectToExternalLink&amp;externalLink=http%3A%2F%2Fwww.everythingesl.net%2Finservices%2Fpre_producti_silent_period_93415.php"</w:instrText>
      </w:r>
      <w:r>
        <w:rPr>
          <w:rFonts w:ascii="Trebuchet MS" w:cs="Trebuchet MS" w:hAnsi="Trebuchet MS" w:eastAsia="Trebuchet MS"/>
          <w:color w:val="05679f"/>
          <w:sz w:val="24"/>
          <w:szCs w:val="24"/>
          <w:shd w:val="clear" w:color="auto" w:fill="ffffff"/>
          <w:rtl w:val="0"/>
        </w:rPr>
        <w:fldChar w:fldCharType="separate" w:fldLock="0"/>
      </w:r>
      <w:r>
        <w:rPr>
          <w:rFonts w:ascii="Trebuchet MS" w:hAnsi="Trebuchet MS"/>
          <w:color w:val="05679f"/>
          <w:sz w:val="24"/>
          <w:szCs w:val="24"/>
          <w:shd w:val="clear" w:color="auto" w:fill="ffffff"/>
          <w:rtl w:val="0"/>
          <w:lang w:val="en-US"/>
        </w:rPr>
        <w:t>http://www.everythingesl.net/inservices/pre_producti_silent_period_93415.php</w:t>
      </w:r>
      <w:r>
        <w:rPr>
          <w:rFonts w:ascii="Trebuchet MS" w:cs="Trebuchet MS" w:hAnsi="Trebuchet MS" w:eastAsia="Trebuchet MS"/>
          <w:color w:val="05679f"/>
          <w:sz w:val="24"/>
          <w:szCs w:val="24"/>
          <w:shd w:val="clear" w:color="auto" w:fill="ffffff"/>
          <w:rtl w:val="0"/>
        </w:rPr>
        <w:fldChar w:fldCharType="end" w:fldLock="0"/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05679f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666666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666666"/>
          <w:sz w:val="24"/>
          <w:szCs w:val="24"/>
          <w:shd w:val="clear" w:color="auto" w:fill="ffffff"/>
          <w:rtl w:val="0"/>
          <w:lang w:val="en-US"/>
        </w:rPr>
        <w:t>1. Adapt-A-Strategy: Adjusting Lessons for ELL Students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>Review the Professional Resources for instructors on the TeachersFirst website.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05679f"/>
          <w:sz w:val="24"/>
          <w:szCs w:val="24"/>
          <w:shd w:val="clear" w:color="auto" w:fill="ffffff"/>
          <w:rtl w:val="0"/>
        </w:rPr>
        <w:fldChar w:fldCharType="begin" w:fldLock="0"/>
      </w:r>
      <w:r>
        <w:rPr>
          <w:rFonts w:ascii="Trebuchet MS" w:cs="Trebuchet MS" w:hAnsi="Trebuchet MS" w:eastAsia="Trebuchet MS"/>
          <w:color w:val="05679f"/>
          <w:sz w:val="24"/>
          <w:szCs w:val="24"/>
          <w:shd w:val="clear" w:color="auto" w:fill="ffffff"/>
          <w:rtl w:val="0"/>
        </w:rPr>
        <w:instrText xml:space="preserve"> HYPERLINK "https://lc-ugrad3.gcu.edu/learningPlatform/externalLinks/externalLinks.html?operation=redirectToExternalLink&amp;externalLink=http%3A%2F%2Fwww.teachersfirst.com%2Fcontent%2Fesl%2Fadaptstrat.cfm"</w:instrText>
      </w:r>
      <w:r>
        <w:rPr>
          <w:rFonts w:ascii="Trebuchet MS" w:cs="Trebuchet MS" w:hAnsi="Trebuchet MS" w:eastAsia="Trebuchet MS"/>
          <w:color w:val="05679f"/>
          <w:sz w:val="24"/>
          <w:szCs w:val="24"/>
          <w:shd w:val="clear" w:color="auto" w:fill="ffffff"/>
          <w:rtl w:val="0"/>
        </w:rPr>
        <w:fldChar w:fldCharType="separate" w:fldLock="0"/>
      </w:r>
      <w:r>
        <w:rPr>
          <w:rFonts w:ascii="Trebuchet MS" w:hAnsi="Trebuchet MS"/>
          <w:color w:val="05679f"/>
          <w:sz w:val="24"/>
          <w:szCs w:val="24"/>
          <w:shd w:val="clear" w:color="auto" w:fill="ffffff"/>
          <w:rtl w:val="0"/>
          <w:lang w:val="en-US"/>
        </w:rPr>
        <w:t>http://www.teachersfirst.com/content/esl/adaptstrat.cfm</w:t>
      </w:r>
      <w:r>
        <w:rPr>
          <w:rFonts w:ascii="Trebuchet MS" w:cs="Trebuchet MS" w:hAnsi="Trebuchet MS" w:eastAsia="Trebuchet MS"/>
          <w:color w:val="05679f"/>
          <w:sz w:val="24"/>
          <w:szCs w:val="24"/>
          <w:shd w:val="clear" w:color="auto" w:fill="ffffff"/>
          <w:rtl w:val="0"/>
        </w:rPr>
        <w:fldChar w:fldCharType="end" w:fldLock="0"/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 xml:space="preserve">Read </w:t>
      </w:r>
      <w:r>
        <w:rPr>
          <w:rFonts w:ascii="Trebuchet MS" w:hAnsi="Trebuchet MS" w:hint="default"/>
          <w:color w:val="333333"/>
          <w:sz w:val="24"/>
          <w:szCs w:val="24"/>
          <w:shd w:val="clear" w:color="auto" w:fill="ffffff"/>
          <w:rtl w:val="0"/>
        </w:rPr>
        <w:t>“</w:t>
      </w: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 xml:space="preserve">Perspectives on the </w:t>
      </w:r>
      <w:r>
        <w:rPr>
          <w:rFonts w:ascii="Trebuchet MS" w:hAnsi="Trebuchet MS" w:hint="default"/>
          <w:color w:val="333333"/>
          <w:sz w:val="24"/>
          <w:szCs w:val="24"/>
          <w:shd w:val="clear" w:color="auto" w:fill="ffffff"/>
          <w:rtl w:val="0"/>
        </w:rPr>
        <w:t>‘</w:t>
      </w: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</w:rPr>
        <w:t>Silent Period</w:t>
      </w:r>
      <w:r>
        <w:rPr>
          <w:rFonts w:ascii="Trebuchet MS" w:hAnsi="Trebuchet MS" w:hint="default"/>
          <w:color w:val="333333"/>
          <w:sz w:val="24"/>
          <w:szCs w:val="24"/>
          <w:shd w:val="clear" w:color="auto" w:fill="ffffff"/>
          <w:rtl w:val="0"/>
        </w:rPr>
        <w:t xml:space="preserve">’ </w:t>
      </w: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>for Emergent Bilinguals in England,</w:t>
      </w:r>
      <w:r>
        <w:rPr>
          <w:rFonts w:ascii="Trebuchet MS" w:hAnsi="Trebuchet MS" w:hint="default"/>
          <w:color w:val="333333"/>
          <w:sz w:val="24"/>
          <w:szCs w:val="24"/>
          <w:shd w:val="clear" w:color="auto" w:fill="ffffff"/>
          <w:rtl w:val="0"/>
        </w:rPr>
        <w:t xml:space="preserve">” </w:t>
      </w: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 xml:space="preserve">by Bligh and Drury, from </w:t>
      </w:r>
      <w:r>
        <w:rPr>
          <w:rFonts w:ascii="Trebuchet MS" w:hAnsi="Trebuchet MS"/>
          <w:i w:val="1"/>
          <w:iCs w:val="1"/>
          <w:color w:val="333333"/>
          <w:sz w:val="24"/>
          <w:szCs w:val="24"/>
          <w:shd w:val="clear" w:color="auto" w:fill="ffffff"/>
          <w:rtl w:val="0"/>
          <w:lang w:val="en-US"/>
        </w:rPr>
        <w:t xml:space="preserve">Journal of Research in Childhood Education </w:t>
      </w: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</w:rPr>
        <w:t>(2015).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 xml:space="preserve">Read </w:t>
      </w:r>
      <w:r>
        <w:rPr>
          <w:rFonts w:ascii="Trebuchet MS" w:hAnsi="Trebuchet MS" w:hint="default"/>
          <w:color w:val="333333"/>
          <w:sz w:val="24"/>
          <w:szCs w:val="24"/>
          <w:shd w:val="clear" w:color="auto" w:fill="ffffff"/>
          <w:rtl w:val="0"/>
        </w:rPr>
        <w:t>“</w:t>
      </w: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>Promoting Vocabulary Learning for English Learners,</w:t>
      </w:r>
      <w:r>
        <w:rPr>
          <w:rFonts w:ascii="Trebuchet MS" w:hAnsi="Trebuchet MS" w:hint="default"/>
          <w:color w:val="333333"/>
          <w:sz w:val="24"/>
          <w:szCs w:val="24"/>
          <w:shd w:val="clear" w:color="auto" w:fill="ffffff"/>
          <w:rtl w:val="0"/>
        </w:rPr>
        <w:t xml:space="preserve">” </w:t>
      </w: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  <w:lang w:val="en-US"/>
        </w:rPr>
        <w:t xml:space="preserve">by Wessels, from </w:t>
      </w:r>
      <w:r>
        <w:rPr>
          <w:rFonts w:ascii="Trebuchet MS" w:hAnsi="Trebuchet MS"/>
          <w:i w:val="1"/>
          <w:iCs w:val="1"/>
          <w:color w:val="333333"/>
          <w:sz w:val="24"/>
          <w:szCs w:val="24"/>
          <w:shd w:val="clear" w:color="auto" w:fill="ffffff"/>
          <w:rtl w:val="0"/>
          <w:lang w:val="en-US"/>
        </w:rPr>
        <w:t xml:space="preserve">Reading Teacher </w:t>
      </w:r>
      <w:r>
        <w:rPr>
          <w:rFonts w:ascii="Trebuchet MS" w:hAnsi="Trebuchet MS"/>
          <w:color w:val="333333"/>
          <w:sz w:val="24"/>
          <w:szCs w:val="24"/>
          <w:shd w:val="clear" w:color="auto" w:fill="ffffff"/>
          <w:rtl w:val="0"/>
        </w:rPr>
        <w:t>(2011)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333333"/>
          <w:sz w:val="24"/>
          <w:szCs w:val="24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333333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eb7600"/>
          <w:sz w:val="24"/>
          <w:szCs w:val="24"/>
          <w:shd w:val="clear" w:color="auto" w:fill="ffffff"/>
          <w:rtl w:val="0"/>
          <w:lang w:val="en-US"/>
        </w:rPr>
        <w:t xml:space="preserve">Building Vocabulary for ELLs in the Pre-production and Early Production Stages </w:t>
      </w:r>
      <w:r>
        <w:rPr>
          <w:rFonts w:ascii="Trebuchet MS" w:hAnsi="Trebuchet MS"/>
          <w:b w:val="1"/>
          <w:bCs w:val="1"/>
          <w:color w:val="eb7600"/>
          <w:sz w:val="24"/>
          <w:szCs w:val="24"/>
          <w:shd w:val="clear" w:color="auto" w:fill="ffffff"/>
          <w:rtl w:val="0"/>
          <w:lang w:val="en-US"/>
        </w:rPr>
        <w:t>Rubric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 w:hint="default"/>
          <w:b w:val="1"/>
          <w:bCs w:val="1"/>
          <w:color w:val="545454"/>
          <w:sz w:val="24"/>
          <w:szCs w:val="24"/>
          <w:shd w:val="clear" w:color="auto" w:fill="ffffff"/>
          <w:rtl w:val="0"/>
        </w:rPr>
        <w:t> 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No Submission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0.00%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2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it-IT"/>
        </w:rPr>
        <w:t>Insufficient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65.00%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3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Approaching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75.00%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4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Acceptable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85.00%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5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Target</w:t>
      </w:r>
    </w:p>
    <w:p>
      <w:pPr>
        <w:pStyle w:val="Default"/>
        <w:bidi w:val="0"/>
        <w:ind w:left="0" w:right="0" w:firstLine="0"/>
        <w:jc w:val="center"/>
        <w:rPr>
          <w:rFonts w:ascii="Trebuchet MS" w:cs="Trebuchet MS" w:hAnsi="Trebuchet MS" w:eastAsia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100.00%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100.0 %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Category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 w:hint="default"/>
          <w:b w:val="1"/>
          <w:bCs w:val="1"/>
          <w:color w:val="545454"/>
          <w:sz w:val="24"/>
          <w:szCs w:val="24"/>
          <w:shd w:val="clear" w:color="auto" w:fill="ffffff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10.0 %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Persuasive Essay for Teachers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essay is not persuasive enough or is not appropriately written for teachers.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essay could be more persuasive or more appropriately written for teachers.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persuasive essay is adequately written for teachers.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essay is clearly written persuasively and is appropriate for teachers.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25.0 %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Pre-Production and Early Production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benefits of strategies that encourage vocabulary development in either the pre-production or early production stages of language acquisition are not clearly described or are presented inaccurately.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benefits of strategies that encourage vocabulary development in either the pre-production or early production stages of language acquisition could be described more clearly or accurately.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Includes the benefits of strategies that encourage vocabulary development within both the pre-production and early production stages of language acquisition.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Includes most of the well-recognized benefits of the main strategies that encourage vocabulary development within both the pre-production and early production stages of language acquisition.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20.0 %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Transcending All Content Areas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Many of the strategies described do not transcend all of the content areas adequately.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all of the strategies described transcend all of the content areas adequately.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strategies described transcend the content areas. Examples are provided.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All of the strategies described clearly transcend all content areas. Creative examples are provided.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25.0 %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Silent Period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description of the Silent Period or the statement regarding how it affects vocabulary development is not presented well or is inaccurate.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description of the Silent Period or the statement regarding how it affects vocabulary development could be presented more clearly or accurately.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A description of the Silent Period is included along with a statement regarding how it affects vocabulary development.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description of the Silent Period is included accurately and succinctly along with a well-crafted statement regarding how it affects vocabulary development.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5.0 %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Organization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An attempt is made to organize the content, but the sequence is indiscernible. The ideas presented are compartmentalized and may not relate to each other.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content could be organized better even though it provides the audience with a sense of the main idea.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content is logically organized. The ideas presented relate to each other. The content provides the audience with a clear sense of the main idea.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The content is well-organized and logical. There is a sequential progression of ideas that relate to each other. The content is presented as a cohesive unit and provides the audience with a clear sense of the main idea.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5.0 %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APA Format and Style Requirements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References page is present, but citations are inconsistently used.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References page is included. Sources are appropriately documented, although some errors may be present.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References page is present and fully inclusive of all cited sources. Documentation is appropriate and citation style is usually correct.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In-text citations and a references page are complete. The documentation of cited sources is free of errors.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10.0 %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Mechanics (spelling, punctuation, grammar, and language use)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Not addressed.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Surface errors are pervasive enough that they impede communication of meaning. Inappropriate word choice or sentence construction are used.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Frequent and repetitive mechanical errors are present but are not overly distracting to the reader; or inconsistent language or word choice is present; or sentence structure could be more varied.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Submission includes some mechanical errors, but they do not hinder comprehension. A variety of effective sentence structures are used, as well as some practice and content-related language.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4"/>
          <w:szCs w:val="24"/>
          <w:shd w:val="clear" w:color="auto" w:fill="ffffff"/>
          <w:rtl w:val="0"/>
          <w:lang w:val="en-US"/>
        </w:rPr>
        <w:t>Submission is virtually free of mechanical errors. Word choice reflects well-developed use of practice and content-related language. Sentence structures are varied and engaging.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1"/>
          <w:bCs w:val="1"/>
          <w:color w:val="000000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</w:rPr>
        <w:t>100 %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b w:val="0"/>
          <w:bCs w:val="0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/>
          <w:b w:val="1"/>
          <w:bCs w:val="1"/>
          <w:color w:val="545454"/>
          <w:sz w:val="24"/>
          <w:szCs w:val="24"/>
          <w:shd w:val="clear" w:color="auto" w:fill="ffffff"/>
          <w:rtl w:val="0"/>
          <w:lang w:val="en-US"/>
        </w:rPr>
        <w:t>Total Weightage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pPr>
      <w:r>
        <w:rPr>
          <w:rFonts w:ascii="Trebuchet MS" w:hAnsi="Trebuchet MS" w:hint="default"/>
          <w:color w:val="545454"/>
          <w:sz w:val="24"/>
          <w:szCs w:val="24"/>
          <w:shd w:val="clear" w:color="auto" w:fill="ffffff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ascii="Trebuchet MS" w:cs="Trebuchet MS" w:hAnsi="Trebuchet MS" w:eastAsia="Trebuchet MS"/>
          <w:color w:val="545454"/>
          <w:sz w:val="24"/>
          <w:szCs w:val="24"/>
          <w:shd w:val="clear" w:color="auto" w:fill="ffffff"/>
          <w:rtl w:val="0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character" w:styleId="Hyperlink.0">
    <w:name w:val="Hyperlink.0"/>
    <w:basedOn w:val="Hyperlink"/>
    <w:next w:val="Hyperlink.0"/>
    <w:rPr/>
  </w:style>
  <w:style w:type="character" w:styleId="Hyperlink.1">
    <w:name w:val="Hyperlink.1"/>
    <w:basedOn w:val="Hyperlink"/>
    <w:next w:val="Hyperlink.1"/>
    <w:rPr/>
  </w:style>
  <w:style w:type="character" w:styleId="Hyperlink.2">
    <w:name w:val="Hyperlink.2"/>
    <w:basedOn w:val="Hyperlink"/>
    <w:next w:val="Hyperlink.2"/>
    <w:rPr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