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CB5CDF">
      <w:pPr>
        <w:pStyle w:val="NormalWeb"/>
        <w:spacing w:before="0" w:beforeAutospacing="0" w:after="0" w:afterAutospacing="0" w:line="480" w:lineRule="auto"/>
        <w:jc w:val="center"/>
        <w:rPr>
          <w:color w:val="0E101A"/>
        </w:rPr>
      </w:pPr>
      <w:r>
        <w:rPr>
          <w:color w:val="0E101A"/>
        </w:rPr>
        <w:t>Organizations and Workplaces</w:t>
      </w:r>
    </w:p>
    <w:p w:rsidR="00CB5CDF" w:rsidRDefault="00CB5CDF" w:rsidP="00CB5CDF">
      <w:pPr>
        <w:pStyle w:val="NormalWeb"/>
        <w:spacing w:before="0" w:beforeAutospacing="0" w:after="0" w:afterAutospacing="0" w:line="480" w:lineRule="auto"/>
        <w:jc w:val="center"/>
        <w:rPr>
          <w:color w:val="0E101A"/>
        </w:rPr>
      </w:pPr>
      <w:r>
        <w:rPr>
          <w:color w:val="0E101A"/>
        </w:rPr>
        <w:t>Student’s Name</w:t>
      </w:r>
    </w:p>
    <w:p w:rsidR="00CB5CDF" w:rsidRDefault="00CB5CDF" w:rsidP="00CB5CDF">
      <w:pPr>
        <w:pStyle w:val="NormalWeb"/>
        <w:spacing w:before="0" w:beforeAutospacing="0" w:after="0" w:afterAutospacing="0" w:line="480" w:lineRule="auto"/>
        <w:jc w:val="center"/>
        <w:rPr>
          <w:color w:val="0E101A"/>
        </w:rPr>
      </w:pPr>
      <w:r>
        <w:rPr>
          <w:color w:val="0E101A"/>
        </w:rPr>
        <w:t>Institution Affiliation</w:t>
      </w:r>
    </w:p>
    <w:p w:rsidR="00CB5CDF" w:rsidRDefault="00CB5CDF" w:rsidP="00CB5CDF">
      <w:pPr>
        <w:pStyle w:val="NormalWeb"/>
        <w:spacing w:before="0" w:beforeAutospacing="0" w:after="0" w:afterAutospacing="0" w:line="480" w:lineRule="auto"/>
        <w:jc w:val="center"/>
        <w:rPr>
          <w:color w:val="0E101A"/>
        </w:rPr>
      </w:pPr>
      <w:r>
        <w:rPr>
          <w:color w:val="0E101A"/>
        </w:rPr>
        <w:t>Course</w:t>
      </w:r>
    </w:p>
    <w:p w:rsidR="00CB5CDF" w:rsidRDefault="00CB5CDF" w:rsidP="00CB5CDF">
      <w:pPr>
        <w:pStyle w:val="NormalWeb"/>
        <w:spacing w:before="0" w:beforeAutospacing="0" w:after="0" w:afterAutospacing="0" w:line="480" w:lineRule="auto"/>
        <w:jc w:val="center"/>
        <w:rPr>
          <w:color w:val="0E101A"/>
        </w:rPr>
      </w:pPr>
      <w:r>
        <w:rPr>
          <w:color w:val="0E101A"/>
        </w:rPr>
        <w:t>Date</w:t>
      </w:r>
    </w:p>
    <w:p w:rsidR="00CB5CDF" w:rsidRDefault="00CB5CDF" w:rsidP="00CB5CDF">
      <w:pPr>
        <w:pStyle w:val="NormalWeb"/>
        <w:spacing w:before="0" w:beforeAutospacing="0" w:after="0" w:afterAutospacing="0" w:line="480" w:lineRule="auto"/>
        <w:jc w:val="center"/>
        <w:rPr>
          <w:color w:val="0E101A"/>
        </w:rPr>
      </w:pPr>
    </w:p>
    <w:p w:rsidR="00CB5CDF" w:rsidRDefault="00CB5CDF" w:rsidP="00CB5CDF">
      <w:pPr>
        <w:pStyle w:val="NormalWeb"/>
        <w:spacing w:before="0" w:beforeAutospacing="0" w:after="0" w:afterAutospacing="0" w:line="480" w:lineRule="auto"/>
        <w:jc w:val="center"/>
        <w:rPr>
          <w:color w:val="0E101A"/>
        </w:rPr>
      </w:pPr>
    </w:p>
    <w:p w:rsidR="00CB5CDF" w:rsidRDefault="00CB5CDF" w:rsidP="00CB5CDF">
      <w:pPr>
        <w:pStyle w:val="NormalWeb"/>
        <w:spacing w:before="0" w:beforeAutospacing="0" w:after="0" w:afterAutospacing="0" w:line="480" w:lineRule="auto"/>
        <w:jc w:val="center"/>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CB5CDF">
      <w:pPr>
        <w:pStyle w:val="NormalWeb"/>
        <w:spacing w:before="0" w:beforeAutospacing="0" w:after="0" w:afterAutospacing="0" w:line="480" w:lineRule="auto"/>
        <w:jc w:val="center"/>
        <w:rPr>
          <w:color w:val="0E101A"/>
        </w:rPr>
      </w:pPr>
      <w:r>
        <w:rPr>
          <w:color w:val="0E101A"/>
        </w:rPr>
        <w:lastRenderedPageBreak/>
        <w:t>Organization and Workplace</w:t>
      </w:r>
    </w:p>
    <w:p w:rsidR="001F25D7" w:rsidRPr="00CB5CDF" w:rsidRDefault="001F25D7" w:rsidP="001F25D7">
      <w:pPr>
        <w:pStyle w:val="NormalWeb"/>
        <w:spacing w:before="0" w:beforeAutospacing="0" w:after="0" w:afterAutospacing="0" w:line="480" w:lineRule="auto"/>
        <w:jc w:val="both"/>
        <w:rPr>
          <w:b/>
          <w:color w:val="0E101A"/>
        </w:rPr>
      </w:pPr>
      <w:r w:rsidRPr="00CB5CDF">
        <w:rPr>
          <w:b/>
          <w:color w:val="0E101A"/>
        </w:rPr>
        <w:t>How diversity can give a company a competitive edge and the d</w:t>
      </w:r>
      <w:bookmarkStart w:id="0" w:name="_GoBack"/>
      <w:bookmarkEnd w:id="0"/>
      <w:r w:rsidRPr="00CB5CDF">
        <w:rPr>
          <w:b/>
          <w:color w:val="0E101A"/>
        </w:rPr>
        <w:t>ifferences it can make</w:t>
      </w:r>
    </w:p>
    <w:p w:rsidR="00D41E20" w:rsidRDefault="00D41E20" w:rsidP="00CB5CDF">
      <w:pPr>
        <w:pStyle w:val="NormalWeb"/>
        <w:spacing w:before="0" w:beforeAutospacing="0" w:after="0" w:afterAutospacing="0" w:line="480" w:lineRule="auto"/>
        <w:ind w:firstLine="720"/>
        <w:jc w:val="both"/>
        <w:rPr>
          <w:color w:val="0E101A"/>
        </w:rPr>
      </w:pPr>
      <w:r>
        <w:rPr>
          <w:color w:val="0E101A"/>
        </w:rPr>
        <w:t>Diversity is vital for the success of a company. It gives a chance for innovations, ensures the free flow of all processes, encourages teamwork, and allows customers to accept products from a specific company. During the production and development of a new product, the company can let their employees brainstorm and raise ideas on the best specs to be implemented in a product (Sarkissian, 2010); diversity ensures those different ideas are bound together, giving a productive output. Diversity increases sales due to effective customer care services.</w:t>
      </w:r>
    </w:p>
    <w:p w:rsidR="001F25D7" w:rsidRPr="00CB5CDF" w:rsidRDefault="001F25D7" w:rsidP="001F25D7">
      <w:pPr>
        <w:pStyle w:val="NormalWeb"/>
        <w:spacing w:before="0" w:beforeAutospacing="0" w:after="0" w:afterAutospacing="0" w:line="480" w:lineRule="auto"/>
        <w:jc w:val="both"/>
        <w:rPr>
          <w:b/>
          <w:color w:val="0E101A"/>
        </w:rPr>
      </w:pPr>
      <w:r w:rsidRPr="00CB5CDF">
        <w:rPr>
          <w:b/>
          <w:color w:val="0E101A"/>
        </w:rPr>
        <w:t>Roles ad functions of human resource in the organization’s environment</w:t>
      </w:r>
    </w:p>
    <w:p w:rsidR="00D41E20" w:rsidRDefault="00D41E20" w:rsidP="00CB5CDF">
      <w:pPr>
        <w:pStyle w:val="NormalWeb"/>
        <w:spacing w:before="0" w:beforeAutospacing="0" w:after="0" w:afterAutospacing="0" w:line="480" w:lineRule="auto"/>
        <w:ind w:firstLine="720"/>
        <w:jc w:val="both"/>
        <w:rPr>
          <w:color w:val="0E101A"/>
        </w:rPr>
      </w:pPr>
      <w:r>
        <w:rPr>
          <w:color w:val="0E101A"/>
        </w:rPr>
        <w:t xml:space="preserve">Human resource ensures workplaces has effective and </w:t>
      </w:r>
      <w:r w:rsidR="00CB5CDF">
        <w:rPr>
          <w:color w:val="0E101A"/>
        </w:rPr>
        <w:t>favourable</w:t>
      </w:r>
      <w:r>
        <w:rPr>
          <w:color w:val="0E101A"/>
        </w:rPr>
        <w:t xml:space="preserve"> policies, ensures that staff recruitment and retention is effective, avail benefits and compensation packages to employees equally and enhancing the skills of employees through training and performance appraisals. The human resource ensures there is a plan on how to recruit staff and the qualification required. Additionally, policies about ethics, usage of resources, and how to dress and behave within workplaces are laid down by human resources. Also, HR ensures promotions, rewards, and compensation packages are fairly distributed.</w:t>
      </w:r>
    </w:p>
    <w:p w:rsidR="001F25D7" w:rsidRPr="00CB5CDF" w:rsidRDefault="001F25D7" w:rsidP="001F25D7">
      <w:pPr>
        <w:pStyle w:val="NormalWeb"/>
        <w:spacing w:before="0" w:beforeAutospacing="0" w:after="0" w:afterAutospacing="0" w:line="480" w:lineRule="auto"/>
        <w:jc w:val="both"/>
        <w:rPr>
          <w:b/>
          <w:color w:val="0E101A"/>
        </w:rPr>
      </w:pPr>
      <w:r w:rsidRPr="00CB5CDF">
        <w:rPr>
          <w:b/>
          <w:color w:val="0E101A"/>
        </w:rPr>
        <w:t>How culture plays out in terms of ethical behaviour and what an organization can do to manage issues effectively</w:t>
      </w:r>
    </w:p>
    <w:p w:rsidR="00D41E20" w:rsidRDefault="00D41E20" w:rsidP="00CB5CDF">
      <w:pPr>
        <w:pStyle w:val="NormalWeb"/>
        <w:spacing w:before="0" w:beforeAutospacing="0" w:after="0" w:afterAutospacing="0" w:line="480" w:lineRule="auto"/>
        <w:ind w:firstLine="720"/>
        <w:jc w:val="both"/>
        <w:rPr>
          <w:color w:val="0E101A"/>
        </w:rPr>
      </w:pPr>
      <w:r>
        <w:rPr>
          <w:color w:val="0E101A"/>
        </w:rPr>
        <w:t xml:space="preserve"> Good </w:t>
      </w:r>
      <w:r w:rsidR="00CB5CDF">
        <w:rPr>
          <w:color w:val="0E101A"/>
        </w:rPr>
        <w:t>behaviours</w:t>
      </w:r>
      <w:r>
        <w:rPr>
          <w:color w:val="0E101A"/>
        </w:rPr>
        <w:t>, attitudes, and values should be maintained as a culture in organizations. Leaders should ensure every new employee is aware of the required ethics, and several meetings should be conducted to remind them. Having self-control, competency, equity, and integrity should be vital to every employee, and leaders should lead by example. To ensure the culture is maintained, a company should do regular checks on actions to know whether their workers can discern and choose the best thing to implement.</w:t>
      </w:r>
    </w:p>
    <w:p w:rsidR="001F25D7" w:rsidRPr="00CB5CDF" w:rsidRDefault="001F25D7" w:rsidP="001F25D7">
      <w:pPr>
        <w:pStyle w:val="NormalWeb"/>
        <w:spacing w:before="0" w:beforeAutospacing="0" w:after="0" w:afterAutospacing="0" w:line="480" w:lineRule="auto"/>
        <w:jc w:val="both"/>
        <w:rPr>
          <w:b/>
          <w:color w:val="0E101A"/>
        </w:rPr>
      </w:pPr>
      <w:r w:rsidRPr="00CB5CDF">
        <w:rPr>
          <w:b/>
          <w:color w:val="0E101A"/>
        </w:rPr>
        <w:lastRenderedPageBreak/>
        <w:t xml:space="preserve">Provisions of Civil Rights Act </w:t>
      </w:r>
    </w:p>
    <w:p w:rsidR="00D41E20" w:rsidRDefault="00D41E20" w:rsidP="00CB5CDF">
      <w:pPr>
        <w:pStyle w:val="NormalWeb"/>
        <w:spacing w:before="0" w:beforeAutospacing="0" w:after="0" w:afterAutospacing="0" w:line="480" w:lineRule="auto"/>
        <w:ind w:firstLine="720"/>
        <w:jc w:val="both"/>
        <w:rPr>
          <w:color w:val="0E101A"/>
        </w:rPr>
      </w:pPr>
      <w:r>
        <w:rPr>
          <w:color w:val="0E101A"/>
        </w:rPr>
        <w:t>The provisions ensure equity and zero discrimination of employees by employers. It ensures that agencies that are funded by the government are not discriminated against. Additionally, it provides that there are not more than 15 employees sharing nationality, origin, or sex within a similar organization. According to the law, discriminating an individual due to their background, nationality, or race is a criminal offense (Ritchmond Times-Dispatch,</w:t>
      </w:r>
      <w:r w:rsidR="00CB5CDF">
        <w:rPr>
          <w:color w:val="0E101A"/>
        </w:rPr>
        <w:t xml:space="preserve"> </w:t>
      </w:r>
      <w:r>
        <w:rPr>
          <w:color w:val="0E101A"/>
        </w:rPr>
        <w:t>2014) that should be charged in a court of law. The cases involving civil rights are allowed to be heard in federal courts.</w:t>
      </w:r>
    </w:p>
    <w:p w:rsidR="001F25D7" w:rsidRPr="00CB5CDF" w:rsidRDefault="001F25D7" w:rsidP="001F25D7">
      <w:pPr>
        <w:pStyle w:val="NormalWeb"/>
        <w:spacing w:before="0" w:beforeAutospacing="0" w:after="0" w:afterAutospacing="0" w:line="480" w:lineRule="auto"/>
        <w:jc w:val="both"/>
        <w:rPr>
          <w:b/>
          <w:color w:val="0E101A"/>
        </w:rPr>
      </w:pPr>
      <w:r w:rsidRPr="00CB5CDF">
        <w:rPr>
          <w:b/>
          <w:color w:val="0E101A"/>
        </w:rPr>
        <w:t>Distinctions between affirmative action and managing diversity</w:t>
      </w:r>
    </w:p>
    <w:p w:rsidR="00D41E20" w:rsidRDefault="00D41E20" w:rsidP="00CB5CDF">
      <w:pPr>
        <w:pStyle w:val="NormalWeb"/>
        <w:spacing w:before="0" w:beforeAutospacing="0" w:after="0" w:afterAutospacing="0" w:line="480" w:lineRule="auto"/>
        <w:ind w:firstLine="720"/>
        <w:jc w:val="both"/>
        <w:rPr>
          <w:color w:val="0E101A"/>
        </w:rPr>
      </w:pPr>
      <w:r>
        <w:rPr>
          <w:color w:val="0E101A"/>
        </w:rPr>
        <w:t>Affirmative action advocates for equality among employees without discrimination based on nationality, origin, or race. On the other hand, diversity ensures that all people from different backgrounds in economics, religious beliefs, or marital status are treated equally (Larsen,</w:t>
      </w:r>
      <w:r w:rsidR="00CB5CDF">
        <w:rPr>
          <w:color w:val="0E101A"/>
        </w:rPr>
        <w:t xml:space="preserve"> </w:t>
      </w:r>
      <w:r>
        <w:rPr>
          <w:color w:val="0E101A"/>
        </w:rPr>
        <w:t>2011). Affirmative action ensures that the minority group is catered for in the employment field, with their qualifications considered during the hiring of staff. The minority include veterans, women, and people with disabilities. Diversity ensures there is inclusiveness in an organization, hence can accommodate innovations from any employee.</w:t>
      </w: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1F25D7">
      <w:pPr>
        <w:pStyle w:val="NormalWeb"/>
        <w:spacing w:before="0" w:beforeAutospacing="0" w:after="0" w:afterAutospacing="0" w:line="480" w:lineRule="auto"/>
        <w:jc w:val="both"/>
        <w:rPr>
          <w:color w:val="0E101A"/>
        </w:rPr>
      </w:pPr>
    </w:p>
    <w:p w:rsidR="00CB5CDF" w:rsidRDefault="00CB5CDF" w:rsidP="00CB5CDF">
      <w:pPr>
        <w:pStyle w:val="NormalWeb"/>
        <w:spacing w:before="0" w:beforeAutospacing="0" w:after="0" w:afterAutospacing="0" w:line="480" w:lineRule="auto"/>
        <w:jc w:val="center"/>
        <w:rPr>
          <w:color w:val="0E101A"/>
        </w:rPr>
      </w:pPr>
    </w:p>
    <w:p w:rsidR="00CB5CDF" w:rsidRDefault="00CB5CDF" w:rsidP="00CB5CDF">
      <w:pPr>
        <w:pStyle w:val="NormalWeb"/>
        <w:spacing w:before="0" w:beforeAutospacing="0" w:after="0" w:afterAutospacing="0" w:line="480" w:lineRule="auto"/>
        <w:jc w:val="center"/>
        <w:rPr>
          <w:color w:val="0E101A"/>
        </w:rPr>
      </w:pPr>
    </w:p>
    <w:p w:rsidR="00CB5CDF" w:rsidRDefault="001F25D7" w:rsidP="00CB5CDF">
      <w:pPr>
        <w:pStyle w:val="NormalWeb"/>
        <w:spacing w:before="0" w:beforeAutospacing="0" w:after="0" w:afterAutospacing="0" w:line="480" w:lineRule="auto"/>
        <w:jc w:val="center"/>
        <w:rPr>
          <w:color w:val="0E101A"/>
        </w:rPr>
      </w:pPr>
      <w:r>
        <w:rPr>
          <w:color w:val="0E101A"/>
        </w:rPr>
        <w:t>References</w:t>
      </w:r>
    </w:p>
    <w:p w:rsidR="00CB5CDF" w:rsidRDefault="00CB5CDF" w:rsidP="00CB5CDF">
      <w:pPr>
        <w:pStyle w:val="NormalWeb"/>
        <w:spacing w:before="0" w:beforeAutospacing="0" w:after="0" w:afterAutospacing="0" w:line="480" w:lineRule="auto"/>
        <w:ind w:left="720" w:hanging="720"/>
        <w:jc w:val="both"/>
        <w:rPr>
          <w:color w:val="0E101A"/>
        </w:rPr>
      </w:pPr>
      <w:r>
        <w:rPr>
          <w:color w:val="0E101A"/>
        </w:rPr>
        <w:t>Alfred Sarkissian (2010) how diversity can give a company a competitive edge </w:t>
      </w:r>
      <w:r>
        <w:rPr>
          <w:rStyle w:val="Emphasis"/>
          <w:color w:val="0E101A"/>
        </w:rPr>
        <w:t>yourbusiness</w:t>
      </w:r>
      <w:r>
        <w:rPr>
          <w:color w:val="0E101A"/>
        </w:rPr>
        <w:t> Retrieved from </w:t>
      </w:r>
      <w:hyperlink r:id="rId6" w:tgtFrame="_blank" w:history="1">
        <w:r>
          <w:rPr>
            <w:rStyle w:val="Hyperlink"/>
            <w:color w:val="4A6EE0"/>
          </w:rPr>
          <w:t>https://yourbusiness.azcentral.com/diversity-consciousness-7059.html</w:t>
        </w:r>
      </w:hyperlink>
    </w:p>
    <w:p w:rsidR="00CB5CDF" w:rsidRDefault="00CB5CDF" w:rsidP="00CB5CDF">
      <w:pPr>
        <w:pStyle w:val="NormalWeb"/>
        <w:spacing w:before="0" w:beforeAutospacing="0" w:after="0" w:afterAutospacing="0" w:line="480" w:lineRule="auto"/>
        <w:ind w:left="720" w:hanging="720"/>
        <w:jc w:val="both"/>
        <w:rPr>
          <w:color w:val="0E101A"/>
        </w:rPr>
      </w:pPr>
      <w:r>
        <w:rPr>
          <w:color w:val="0E101A"/>
        </w:rPr>
        <w:t>Renee Larsen (2011) Diversity &amp; Affirmative action in the workplace: 6 tips to stay compliant </w:t>
      </w:r>
      <w:r>
        <w:rPr>
          <w:rStyle w:val="Emphasis"/>
          <w:color w:val="0E101A"/>
        </w:rPr>
        <w:t>hrexcchangenetwork</w:t>
      </w:r>
      <w:r>
        <w:rPr>
          <w:color w:val="0E101A"/>
        </w:rPr>
        <w:t> Retrieved from </w:t>
      </w:r>
      <w:hyperlink r:id="rId7" w:tgtFrame="_blank" w:history="1">
        <w:r>
          <w:rPr>
            <w:rStyle w:val="Hyperlink"/>
            <w:color w:val="4A6EE0"/>
          </w:rPr>
          <w:t>https://www.hrexchangenetwork.com/employment-law/articles/diversity-affirmative-action-in-the-workplace-6-ti</w:t>
        </w:r>
      </w:hyperlink>
    </w:p>
    <w:p w:rsidR="00CB5CDF" w:rsidRDefault="00CB5CDF" w:rsidP="00CB5CDF">
      <w:pPr>
        <w:pStyle w:val="NormalWeb"/>
        <w:spacing w:before="0" w:beforeAutospacing="0" w:after="0" w:afterAutospacing="0" w:line="480" w:lineRule="auto"/>
        <w:ind w:left="720" w:hanging="720"/>
        <w:jc w:val="both"/>
        <w:rPr>
          <w:color w:val="0E101A"/>
        </w:rPr>
      </w:pPr>
      <w:r>
        <w:rPr>
          <w:color w:val="0E101A"/>
        </w:rPr>
        <w:t>Richmond Times-Dispatch (2014) Key provisions of Civil Rights Acts of 1964 </w:t>
      </w:r>
      <w:r>
        <w:rPr>
          <w:rStyle w:val="Emphasis"/>
          <w:color w:val="0E101A"/>
        </w:rPr>
        <w:t>Richmond</w:t>
      </w:r>
      <w:r>
        <w:rPr>
          <w:color w:val="0E101A"/>
        </w:rPr>
        <w:t> Retrieved from </w:t>
      </w:r>
      <w:hyperlink r:id="rId8" w:tgtFrame="_blank" w:history="1">
        <w:r>
          <w:rPr>
            <w:rStyle w:val="Hyperlink"/>
            <w:color w:val="4A6EE0"/>
          </w:rPr>
          <w:t>https://richmond.com/news/local/government-politics/key-provisions-of-civil-rights-act-of-1964/article_ab349cdc-7f37-5051-96a9-b399e8af7329.html</w:t>
        </w:r>
      </w:hyperlink>
    </w:p>
    <w:p w:rsidR="00D41E20" w:rsidRDefault="00D41E20" w:rsidP="001F25D7">
      <w:pPr>
        <w:pStyle w:val="NormalWeb"/>
        <w:spacing w:before="0" w:beforeAutospacing="0" w:after="0" w:afterAutospacing="0" w:line="480" w:lineRule="auto"/>
        <w:jc w:val="both"/>
        <w:rPr>
          <w:color w:val="0E101A"/>
        </w:rPr>
      </w:pPr>
    </w:p>
    <w:p w:rsidR="00D41E20" w:rsidRDefault="00D41E20" w:rsidP="001F25D7">
      <w:pPr>
        <w:pStyle w:val="NormalWeb"/>
        <w:spacing w:before="0" w:beforeAutospacing="0" w:after="0" w:afterAutospacing="0" w:line="480" w:lineRule="auto"/>
        <w:jc w:val="both"/>
        <w:rPr>
          <w:color w:val="0E101A"/>
        </w:rPr>
      </w:pPr>
    </w:p>
    <w:p w:rsidR="00D41E20" w:rsidRDefault="00D41E20" w:rsidP="001F25D7">
      <w:pPr>
        <w:pStyle w:val="NormalWeb"/>
        <w:spacing w:before="0" w:beforeAutospacing="0" w:after="0" w:afterAutospacing="0" w:line="480" w:lineRule="auto"/>
        <w:jc w:val="both"/>
        <w:rPr>
          <w:color w:val="0E101A"/>
        </w:rPr>
      </w:pPr>
    </w:p>
    <w:p w:rsidR="00D41E20" w:rsidRDefault="00D41E20" w:rsidP="001F25D7">
      <w:pPr>
        <w:pStyle w:val="NormalWeb"/>
        <w:spacing w:before="0" w:beforeAutospacing="0" w:after="0" w:afterAutospacing="0" w:line="480" w:lineRule="auto"/>
        <w:jc w:val="both"/>
        <w:rPr>
          <w:color w:val="0E101A"/>
        </w:rPr>
      </w:pPr>
    </w:p>
    <w:p w:rsidR="00D41E20" w:rsidRDefault="00D41E20" w:rsidP="001F25D7">
      <w:pPr>
        <w:pStyle w:val="NormalWeb"/>
        <w:spacing w:before="0" w:beforeAutospacing="0" w:after="0" w:afterAutospacing="0" w:line="480" w:lineRule="auto"/>
        <w:jc w:val="both"/>
        <w:rPr>
          <w:color w:val="0E101A"/>
        </w:rPr>
      </w:pPr>
    </w:p>
    <w:p w:rsidR="00D41E20" w:rsidRDefault="00D41E20" w:rsidP="001F25D7">
      <w:pPr>
        <w:pStyle w:val="NormalWeb"/>
        <w:spacing w:before="0" w:beforeAutospacing="0" w:after="0" w:afterAutospacing="0" w:line="480" w:lineRule="auto"/>
        <w:jc w:val="both"/>
        <w:rPr>
          <w:color w:val="0E101A"/>
        </w:rPr>
      </w:pPr>
    </w:p>
    <w:p w:rsidR="005E266F" w:rsidRDefault="005E266F" w:rsidP="001F25D7">
      <w:pPr>
        <w:tabs>
          <w:tab w:val="left" w:pos="1276"/>
        </w:tabs>
        <w:spacing w:line="480" w:lineRule="auto"/>
        <w:jc w:val="both"/>
      </w:pPr>
    </w:p>
    <w:sectPr w:rsidR="005E266F" w:rsidSect="00CB5CD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667" w:rsidRDefault="00536667" w:rsidP="00CB5CDF">
      <w:pPr>
        <w:spacing w:after="0" w:line="240" w:lineRule="auto"/>
      </w:pPr>
      <w:r>
        <w:separator/>
      </w:r>
    </w:p>
  </w:endnote>
  <w:endnote w:type="continuationSeparator" w:id="0">
    <w:p w:rsidR="00536667" w:rsidRDefault="00536667" w:rsidP="00CB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667" w:rsidRDefault="00536667" w:rsidP="00CB5CDF">
      <w:pPr>
        <w:spacing w:after="0" w:line="240" w:lineRule="auto"/>
      </w:pPr>
      <w:r>
        <w:separator/>
      </w:r>
    </w:p>
  </w:footnote>
  <w:footnote w:type="continuationSeparator" w:id="0">
    <w:p w:rsidR="00536667" w:rsidRDefault="00536667" w:rsidP="00CB5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320803"/>
      <w:docPartObj>
        <w:docPartGallery w:val="Page Numbers (Top of Page)"/>
        <w:docPartUnique/>
      </w:docPartObj>
    </w:sdtPr>
    <w:sdtEndPr>
      <w:rPr>
        <w:rFonts w:ascii="Times New Roman" w:hAnsi="Times New Roman" w:cs="Times New Roman"/>
        <w:noProof/>
        <w:sz w:val="24"/>
        <w:szCs w:val="24"/>
      </w:rPr>
    </w:sdtEndPr>
    <w:sdtContent>
      <w:p w:rsidR="00CB5CDF" w:rsidRPr="00CB5CDF" w:rsidRDefault="00CB5CDF" w:rsidP="00CB5CDF">
        <w:pPr>
          <w:pStyle w:val="Header"/>
          <w:spacing w:line="480" w:lineRule="auto"/>
          <w:jc w:val="right"/>
          <w:rPr>
            <w:rFonts w:ascii="Times New Roman" w:hAnsi="Times New Roman" w:cs="Times New Roman"/>
            <w:sz w:val="24"/>
            <w:szCs w:val="24"/>
          </w:rPr>
        </w:pPr>
        <w:r w:rsidRPr="00CB5CDF">
          <w:rPr>
            <w:rFonts w:ascii="Times New Roman" w:hAnsi="Times New Roman" w:cs="Times New Roman"/>
            <w:sz w:val="24"/>
            <w:szCs w:val="24"/>
          </w:rPr>
          <w:fldChar w:fldCharType="begin"/>
        </w:r>
        <w:r w:rsidRPr="00CB5CDF">
          <w:rPr>
            <w:rFonts w:ascii="Times New Roman" w:hAnsi="Times New Roman" w:cs="Times New Roman"/>
            <w:sz w:val="24"/>
            <w:szCs w:val="24"/>
          </w:rPr>
          <w:instrText xml:space="preserve"> PAGE   \* MERGEFORMAT </w:instrText>
        </w:r>
        <w:r w:rsidRPr="00CB5CDF">
          <w:rPr>
            <w:rFonts w:ascii="Times New Roman" w:hAnsi="Times New Roman" w:cs="Times New Roman"/>
            <w:sz w:val="24"/>
            <w:szCs w:val="24"/>
          </w:rPr>
          <w:fldChar w:fldCharType="separate"/>
        </w:r>
        <w:r w:rsidR="009A3FFE">
          <w:rPr>
            <w:rFonts w:ascii="Times New Roman" w:hAnsi="Times New Roman" w:cs="Times New Roman"/>
            <w:noProof/>
            <w:sz w:val="24"/>
            <w:szCs w:val="24"/>
          </w:rPr>
          <w:t>2</w:t>
        </w:r>
        <w:r w:rsidRPr="00CB5CDF">
          <w:rPr>
            <w:rFonts w:ascii="Times New Roman" w:hAnsi="Times New Roman" w:cs="Times New Roman"/>
            <w:noProof/>
            <w:sz w:val="24"/>
            <w:szCs w:val="24"/>
          </w:rPr>
          <w:fldChar w:fldCharType="end"/>
        </w:r>
      </w:p>
    </w:sdtContent>
  </w:sdt>
  <w:p w:rsidR="00CB5CDF" w:rsidRDefault="00CB5CDF">
    <w:pPr>
      <w:pStyle w:val="Header"/>
    </w:pPr>
    <w:r w:rsidRPr="00CB5CDF">
      <w:rPr>
        <w:rFonts w:ascii="Times New Roman" w:hAnsi="Times New Roman" w:cs="Times New Roman"/>
        <w:sz w:val="24"/>
        <w:szCs w:val="24"/>
      </w:rPr>
      <w:t>ORGANIZATION AND WORKPLACES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CDF" w:rsidRPr="00CB5CDF" w:rsidRDefault="00CB5CDF" w:rsidP="00CB5CDF">
    <w:pPr>
      <w:pStyle w:val="Header"/>
      <w:spacing w:line="480" w:lineRule="auto"/>
      <w:rPr>
        <w:rFonts w:ascii="Times New Roman" w:hAnsi="Times New Roman" w:cs="Times New Roman"/>
        <w:sz w:val="24"/>
        <w:szCs w:val="24"/>
      </w:rPr>
    </w:pPr>
    <w:r w:rsidRPr="00CB5CDF">
      <w:rPr>
        <w:rFonts w:ascii="Times New Roman" w:hAnsi="Times New Roman" w:cs="Times New Roman"/>
        <w:sz w:val="24"/>
        <w:szCs w:val="24"/>
      </w:rPr>
      <w:t>Running Head: ORGANIZATION AND WORKPLACES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66F"/>
    <w:rsid w:val="001F25D7"/>
    <w:rsid w:val="00536667"/>
    <w:rsid w:val="005E266F"/>
    <w:rsid w:val="00646CC1"/>
    <w:rsid w:val="007E1866"/>
    <w:rsid w:val="009109AF"/>
    <w:rsid w:val="00970702"/>
    <w:rsid w:val="009A3FFE"/>
    <w:rsid w:val="00C0740A"/>
    <w:rsid w:val="00CB5CDF"/>
    <w:rsid w:val="00D41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6E874-1562-49F8-8EF1-DE452AB5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6CC1"/>
    <w:rPr>
      <w:color w:val="0000FF"/>
      <w:u w:val="single"/>
    </w:rPr>
  </w:style>
  <w:style w:type="paragraph" w:styleId="NormalWeb">
    <w:name w:val="Normal (Web)"/>
    <w:basedOn w:val="Normal"/>
    <w:uiPriority w:val="99"/>
    <w:semiHidden/>
    <w:unhideWhenUsed/>
    <w:rsid w:val="00D41E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41E20"/>
    <w:rPr>
      <w:i/>
      <w:iCs/>
    </w:rPr>
  </w:style>
  <w:style w:type="paragraph" w:styleId="Header">
    <w:name w:val="header"/>
    <w:basedOn w:val="Normal"/>
    <w:link w:val="HeaderChar"/>
    <w:uiPriority w:val="99"/>
    <w:unhideWhenUsed/>
    <w:rsid w:val="00CB5C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CDF"/>
  </w:style>
  <w:style w:type="paragraph" w:styleId="Footer">
    <w:name w:val="footer"/>
    <w:basedOn w:val="Normal"/>
    <w:link w:val="FooterChar"/>
    <w:uiPriority w:val="99"/>
    <w:unhideWhenUsed/>
    <w:rsid w:val="00CB5C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chmond.com/news/local/government-politics/key-provisions-of-civil-rights-act-of-1964/article_ab349cdc-7f37-5051-96a9-b399e8af7329.html" TargetMode="External"/><Relationship Id="rId3" Type="http://schemas.openxmlformats.org/officeDocument/2006/relationships/webSettings" Target="webSettings.xml"/><Relationship Id="rId7" Type="http://schemas.openxmlformats.org/officeDocument/2006/relationships/hyperlink" Target="https://www.hrexchangenetwork.com/employment-law/articles/diversity-affirmative-action-in-the-workplace-6-t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rbusiness.azcentral.com/diversity-consciousness-7059.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2020-07-19T19:49:00Z</dcterms:created>
  <dcterms:modified xsi:type="dcterms:W3CDTF">2020-07-19T19:49:00Z</dcterms:modified>
</cp:coreProperties>
</file>