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3F5A73" w:rsidRDefault="006E645A" w:rsidP="00425BF6">
      <w:pPr>
        <w:jc w:val="center"/>
      </w:pPr>
    </w:p>
    <w:p w:rsidR="006E645A" w:rsidRPr="003F5A73" w:rsidRDefault="006E645A" w:rsidP="00425BF6">
      <w:pPr>
        <w:jc w:val="center"/>
      </w:pPr>
    </w:p>
    <w:p w:rsidR="006E645A" w:rsidRPr="003F5A73" w:rsidRDefault="006E645A" w:rsidP="00425BF6">
      <w:pPr>
        <w:jc w:val="center"/>
      </w:pPr>
    </w:p>
    <w:p w:rsidR="006E645A" w:rsidRPr="003F5A73" w:rsidRDefault="006E645A" w:rsidP="00425BF6"/>
    <w:p w:rsidR="006E645A" w:rsidRDefault="006E645A" w:rsidP="00425BF6">
      <w:pPr>
        <w:jc w:val="center"/>
      </w:pPr>
    </w:p>
    <w:p w:rsidR="00880512" w:rsidRPr="003F5A73" w:rsidRDefault="00880512" w:rsidP="00425BF6">
      <w:pPr>
        <w:jc w:val="center"/>
      </w:pPr>
    </w:p>
    <w:p w:rsidR="00111FE5" w:rsidRPr="003E4767" w:rsidRDefault="004A3FEA" w:rsidP="00425BF6">
      <w:pPr>
        <w:spacing w:after="0"/>
        <w:jc w:val="center"/>
        <w:rPr>
          <w:b/>
          <w:bCs/>
        </w:rPr>
      </w:pPr>
      <w:r>
        <w:rPr>
          <w:lang w:val="en-US"/>
        </w:rPr>
        <w:t>Pharmacology</w:t>
      </w:r>
    </w:p>
    <w:p w:rsidR="006E645A" w:rsidRPr="003F5A73" w:rsidRDefault="004A3FEA" w:rsidP="00425BF6">
      <w:pPr>
        <w:jc w:val="center"/>
      </w:pPr>
      <w:r w:rsidRPr="003F5A73">
        <w:t>Name</w:t>
      </w:r>
    </w:p>
    <w:p w:rsidR="006E645A" w:rsidRPr="003F5A73" w:rsidRDefault="004A3FEA" w:rsidP="00425BF6">
      <w:pPr>
        <w:jc w:val="center"/>
      </w:pPr>
      <w:r w:rsidRPr="003F5A73">
        <w:t>Institution</w:t>
      </w:r>
    </w:p>
    <w:p w:rsidR="00F51FB9" w:rsidRPr="003F5A73" w:rsidRDefault="004A3FEA" w:rsidP="00425BF6">
      <w:pPr>
        <w:jc w:val="center"/>
      </w:pPr>
      <w:r w:rsidRPr="003F5A73">
        <w:t>Date</w:t>
      </w:r>
    </w:p>
    <w:p w:rsidR="00B20C0E" w:rsidRPr="003F5A73" w:rsidRDefault="00B20C0E" w:rsidP="00425BF6">
      <w:pPr>
        <w:jc w:val="center"/>
      </w:pPr>
    </w:p>
    <w:p w:rsidR="00B20C0E" w:rsidRPr="003F5A73" w:rsidRDefault="00B20C0E" w:rsidP="00425BF6">
      <w:pPr>
        <w:jc w:val="center"/>
      </w:pPr>
    </w:p>
    <w:p w:rsidR="00B20C0E" w:rsidRDefault="00B20C0E" w:rsidP="00425BF6">
      <w:pPr>
        <w:jc w:val="center"/>
      </w:pPr>
    </w:p>
    <w:p w:rsidR="00B24316" w:rsidRDefault="00B24316" w:rsidP="00425BF6">
      <w:pPr>
        <w:jc w:val="center"/>
      </w:pPr>
    </w:p>
    <w:p w:rsidR="00B24316" w:rsidRPr="003F5A73" w:rsidRDefault="00B24316" w:rsidP="00425BF6">
      <w:pPr>
        <w:jc w:val="center"/>
      </w:pPr>
    </w:p>
    <w:p w:rsidR="00B20C0E" w:rsidRPr="003F5A73" w:rsidRDefault="00B20C0E" w:rsidP="00425BF6">
      <w:pPr>
        <w:jc w:val="center"/>
      </w:pPr>
    </w:p>
    <w:p w:rsidR="00B20C0E" w:rsidRDefault="00B20C0E" w:rsidP="00425BF6">
      <w:pPr>
        <w:jc w:val="center"/>
      </w:pPr>
    </w:p>
    <w:p w:rsidR="00905719" w:rsidRDefault="00905719" w:rsidP="00425BF6">
      <w:pPr>
        <w:jc w:val="center"/>
      </w:pPr>
    </w:p>
    <w:p w:rsidR="00905719" w:rsidRDefault="00905719" w:rsidP="00425BF6">
      <w:pPr>
        <w:jc w:val="center"/>
      </w:pPr>
    </w:p>
    <w:p w:rsidR="00905719" w:rsidRDefault="00905719" w:rsidP="00425BF6">
      <w:pPr>
        <w:jc w:val="center"/>
      </w:pPr>
    </w:p>
    <w:p w:rsidR="00B24316" w:rsidRPr="003F5A73" w:rsidRDefault="00B24316" w:rsidP="00425BF6">
      <w:pPr>
        <w:spacing w:after="0"/>
        <w:jc w:val="center"/>
      </w:pPr>
    </w:p>
    <w:p w:rsidR="008E20B3" w:rsidRDefault="004A3FEA" w:rsidP="00425BF6">
      <w:pPr>
        <w:spacing w:after="0"/>
        <w:jc w:val="center"/>
        <w:rPr>
          <w:lang w:val="en-US"/>
        </w:rPr>
      </w:pPr>
      <w:bookmarkStart w:id="0" w:name="_Hlk48170871"/>
      <w:r>
        <w:rPr>
          <w:lang w:val="en-US"/>
        </w:rPr>
        <w:t>Pharmacology</w:t>
      </w:r>
      <w:bookmarkEnd w:id="0"/>
    </w:p>
    <w:p w:rsidR="005A7724" w:rsidRPr="00425BF6" w:rsidRDefault="004A3FEA" w:rsidP="00880512">
      <w:pPr>
        <w:spacing w:after="0"/>
        <w:jc w:val="center"/>
        <w:rPr>
          <w:b/>
          <w:bCs/>
          <w:lang w:val="en-US"/>
        </w:rPr>
      </w:pPr>
      <w:r>
        <w:rPr>
          <w:b/>
          <w:bCs/>
          <w:lang w:val="en-US"/>
        </w:rPr>
        <w:t>Choice #2 April</w:t>
      </w:r>
    </w:p>
    <w:p w:rsidR="005A7724" w:rsidRPr="00425BF6" w:rsidRDefault="004A3FEA" w:rsidP="00880512">
      <w:pPr>
        <w:spacing w:after="0"/>
        <w:jc w:val="center"/>
        <w:rPr>
          <w:b/>
          <w:bCs/>
        </w:rPr>
      </w:pPr>
      <w:r w:rsidRPr="00425BF6">
        <w:rPr>
          <w:b/>
          <w:bCs/>
        </w:rPr>
        <w:t>Can she finish the HPV series, or will she need to start over?</w:t>
      </w:r>
    </w:p>
    <w:p w:rsidR="008B7676" w:rsidRDefault="004A3FEA" w:rsidP="00880512">
      <w:pPr>
        <w:spacing w:after="0"/>
        <w:ind w:firstLine="720"/>
        <w:jc w:val="both"/>
      </w:pPr>
      <w:r w:rsidRPr="001B1E78">
        <w:t>Human papillomavirus (HPV)</w:t>
      </w:r>
      <w:r>
        <w:t xml:space="preserve"> is among the most commonly known viral infections </w:t>
      </w:r>
      <w:r w:rsidR="00525583">
        <w:t xml:space="preserve">commonly associated with women and </w:t>
      </w:r>
      <w:r w:rsidR="002271C2">
        <w:t xml:space="preserve">presents in various forms and </w:t>
      </w:r>
      <w:r>
        <w:t xml:space="preserve">is easily transmitted between individuals through skin contact. </w:t>
      </w:r>
      <w:r w:rsidR="00154DB3">
        <w:t>In most cases, individuals contract HPV through direct skin contact in sexual contact, which entails both genital and oral forms</w:t>
      </w:r>
      <w:r w:rsidR="00091298">
        <w:t xml:space="preserve"> (</w:t>
      </w:r>
      <w:r w:rsidR="00E27FD1">
        <w:t>Barnard et al.</w:t>
      </w:r>
      <w:r w:rsidR="00091298">
        <w:t xml:space="preserve">, </w:t>
      </w:r>
      <w:r w:rsidR="00091298" w:rsidRPr="00091298">
        <w:t>201</w:t>
      </w:r>
      <w:r w:rsidR="00E27FD1">
        <w:t>7</w:t>
      </w:r>
      <w:r w:rsidR="00091298">
        <w:t>)</w:t>
      </w:r>
      <w:r w:rsidR="00154DB3">
        <w:t xml:space="preserve">. </w:t>
      </w:r>
      <w:r w:rsidR="000C20B9">
        <w:t>Though the condition is mostly associated with little or no symptoms, the persistence of the condition</w:t>
      </w:r>
      <w:r w:rsidR="00840193">
        <w:t>, especially in women,</w:t>
      </w:r>
      <w:r w:rsidR="000C20B9">
        <w:t xml:space="preserve"> has been associated with</w:t>
      </w:r>
      <w:r w:rsidR="00840193">
        <w:t xml:space="preserve"> cervical</w:t>
      </w:r>
      <w:r w:rsidR="00E531D4">
        <w:t xml:space="preserve"> cancer occurrence, prompting the development of vaccines. </w:t>
      </w:r>
      <w:r w:rsidR="008B7676">
        <w:t>Generally, most countries advocate for three shots of the HPV vaccine, though it depends on the age of the individual</w:t>
      </w:r>
      <w:r w:rsidR="00E27FD1">
        <w:t xml:space="preserve"> (Barnard et al., </w:t>
      </w:r>
      <w:r w:rsidR="00E27FD1" w:rsidRPr="00091298">
        <w:t>201</w:t>
      </w:r>
      <w:r w:rsidR="00E27FD1">
        <w:t>7)</w:t>
      </w:r>
      <w:r w:rsidR="008B7676">
        <w:t xml:space="preserve">. </w:t>
      </w:r>
      <w:r>
        <w:t xml:space="preserve">Generally, the target for HPV immunization in most countries is young adolescent girls aged between 9-15 years, who are required to get two vaccine shots, </w:t>
      </w:r>
      <w:r w:rsidR="0085574F">
        <w:t xml:space="preserve">which are six months apart. For </w:t>
      </w:r>
      <w:r w:rsidR="00F54C7E">
        <w:t>females over the age of 15, three shots are recommended, at 0, 2, and 6 months</w:t>
      </w:r>
      <w:r w:rsidR="00051B99">
        <w:t xml:space="preserve"> (</w:t>
      </w:r>
      <w:r w:rsidR="00051B99" w:rsidRPr="00091298">
        <w:t>World Health Organization</w:t>
      </w:r>
      <w:r w:rsidR="00051B99">
        <w:t xml:space="preserve">, </w:t>
      </w:r>
      <w:r w:rsidR="00051B99" w:rsidRPr="00091298">
        <w:t>201</w:t>
      </w:r>
      <w:r w:rsidR="00051B99">
        <w:t>9)</w:t>
      </w:r>
      <w:r w:rsidR="00F54C7E">
        <w:t xml:space="preserve">. </w:t>
      </w:r>
      <w:r w:rsidR="00321EDD">
        <w:t xml:space="preserve">However, in the instance of </w:t>
      </w:r>
      <w:r w:rsidR="001F68CA">
        <w:t xml:space="preserve">an interruption in </w:t>
      </w:r>
      <w:r w:rsidR="0034727F">
        <w:t xml:space="preserve">the immunization intervals, various protocols should be followed </w:t>
      </w:r>
      <w:r w:rsidR="00135D23">
        <w:t xml:space="preserve">during resumption, for instance, </w:t>
      </w:r>
      <w:r w:rsidR="009C4CEA">
        <w:t xml:space="preserve">where the first dose is given before the age of </w:t>
      </w:r>
      <w:r w:rsidR="00A81F93">
        <w:t>15. The vaccination resume can be resumed without retaking the previous dose</w:t>
      </w:r>
      <w:r w:rsidR="00051B99">
        <w:t xml:space="preserve"> (</w:t>
      </w:r>
      <w:r w:rsidR="00051B99" w:rsidRPr="00091298">
        <w:t>World Health Organization</w:t>
      </w:r>
      <w:r w:rsidR="00051B99">
        <w:t xml:space="preserve">, </w:t>
      </w:r>
      <w:r w:rsidR="00051B99" w:rsidRPr="00091298">
        <w:t>201</w:t>
      </w:r>
      <w:r w:rsidR="00051B99">
        <w:t>9)</w:t>
      </w:r>
      <w:r w:rsidR="00A81F93">
        <w:t xml:space="preserve">. </w:t>
      </w:r>
      <w:r w:rsidR="00C3218F">
        <w:t>Therefore, it means that April can finish her immunization</w:t>
      </w:r>
      <w:r w:rsidR="00880512">
        <w:t xml:space="preserve"> and</w:t>
      </w:r>
      <w:r w:rsidR="00C3218F">
        <w:t xml:space="preserve"> resume without having to restart again. </w:t>
      </w:r>
    </w:p>
    <w:p w:rsidR="005A7724" w:rsidRPr="00425BF6" w:rsidRDefault="004A3FEA" w:rsidP="00880512">
      <w:pPr>
        <w:spacing w:after="0"/>
        <w:jc w:val="center"/>
        <w:rPr>
          <w:b/>
          <w:bCs/>
        </w:rPr>
      </w:pPr>
      <w:r>
        <w:rPr>
          <w:b/>
          <w:bCs/>
        </w:rPr>
        <w:t>P</w:t>
      </w:r>
      <w:r w:rsidRPr="00425BF6">
        <w:rPr>
          <w:b/>
          <w:bCs/>
        </w:rPr>
        <w:t>recautions and contraindications o</w:t>
      </w:r>
      <w:r>
        <w:rPr>
          <w:b/>
          <w:bCs/>
        </w:rPr>
        <w:t>f the Vaccine</w:t>
      </w:r>
    </w:p>
    <w:p w:rsidR="00537D01" w:rsidRDefault="004A3FEA" w:rsidP="00425BF6">
      <w:pPr>
        <w:spacing w:after="0"/>
        <w:ind w:firstLine="720"/>
        <w:jc w:val="both"/>
      </w:pPr>
      <w:r>
        <w:t>As you contemplate resuming the HPV vaccination, there are various precautions and contradictions that the patient should be aware of</w:t>
      </w:r>
      <w:r w:rsidR="00A57526">
        <w:t xml:space="preserve"> and should expec</w:t>
      </w:r>
      <w:r w:rsidR="00056C6E">
        <w:t xml:space="preserve">t, such as the development of </w:t>
      </w:r>
      <w:r w:rsidR="00E243B8">
        <w:t xml:space="preserve">allergies. </w:t>
      </w:r>
      <w:r w:rsidR="00C65483">
        <w:t xml:space="preserve">Vaccine components from the previous regime are bound to contribute to the development of severe allergic reactions such as </w:t>
      </w:r>
      <w:r w:rsidR="00466A9E" w:rsidRPr="00466A9E">
        <w:t>anaphylaxis</w:t>
      </w:r>
      <w:r w:rsidR="00466A9E">
        <w:t>, a life-threatening allergic reaction resulting from an overreaction of the immune system to specific allergens</w:t>
      </w:r>
      <w:r w:rsidR="004F745F">
        <w:t xml:space="preserve"> (CDC, 2020)</w:t>
      </w:r>
      <w:r w:rsidR="00466A9E">
        <w:t xml:space="preserve">. </w:t>
      </w:r>
      <w:r w:rsidR="00964E5B">
        <w:t xml:space="preserve">Another contradiction </w:t>
      </w:r>
      <w:r w:rsidR="00055A2D">
        <w:t xml:space="preserve">common with the resumption of </w:t>
      </w:r>
      <w:r w:rsidR="00A1308E">
        <w:t xml:space="preserve">the HPV vaccine is the immediate development of yeast hypersensitivity. The development of </w:t>
      </w:r>
      <w:r w:rsidR="00A1308E" w:rsidRPr="00A1308E">
        <w:t>Quadrivalent and 9-valent HPV vaccines</w:t>
      </w:r>
      <w:r w:rsidR="00A1308E">
        <w:t xml:space="preserve"> are based on </w:t>
      </w:r>
      <w:r w:rsidR="00A1308E" w:rsidRPr="00A1308E">
        <w:t>Saccharomyces cerevisiae (baker’s yeast)</w:t>
      </w:r>
      <w:r w:rsidR="00A1308E">
        <w:t xml:space="preserve">, which may </w:t>
      </w:r>
      <w:r w:rsidR="00D66B56">
        <w:t xml:space="preserve">lead to the </w:t>
      </w:r>
      <w:r w:rsidR="00FA3BCC">
        <w:t xml:space="preserve">development of </w:t>
      </w:r>
      <w:r w:rsidR="00B763C8">
        <w:t>yeast infections, especially in persons with a history of the same(</w:t>
      </w:r>
      <w:r w:rsidR="004F745F">
        <w:t>CDC, 2020</w:t>
      </w:r>
      <w:r w:rsidR="00B763C8">
        <w:t xml:space="preserve">). </w:t>
      </w:r>
      <w:r w:rsidR="00726203">
        <w:t xml:space="preserve">Finally, </w:t>
      </w:r>
      <w:r w:rsidR="00325C21">
        <w:t>a precaution to the vaccine that</w:t>
      </w:r>
      <w:r w:rsidR="004F745F">
        <w:t xml:space="preserve"> is expected is the occurrence of a severe to moderate illness that would manifest in the form of diarrhea, mild fever, or </w:t>
      </w:r>
      <w:r w:rsidR="004F745F" w:rsidRPr="004F745F">
        <w:t>upper respiratory tract infection</w:t>
      </w:r>
      <w:r w:rsidR="004F745F">
        <w:t xml:space="preserve">. </w:t>
      </w:r>
    </w:p>
    <w:p w:rsidR="005A7724" w:rsidRPr="00425BF6" w:rsidRDefault="00880512" w:rsidP="00880512">
      <w:pPr>
        <w:spacing w:after="0"/>
        <w:jc w:val="center"/>
        <w:rPr>
          <w:b/>
          <w:bCs/>
        </w:rPr>
      </w:pPr>
      <w:r>
        <w:rPr>
          <w:b/>
          <w:bCs/>
        </w:rPr>
        <w:t>Adverse drug reactions, VIS and its importance</w:t>
      </w:r>
    </w:p>
    <w:p w:rsidR="00537D01" w:rsidRDefault="004A3FEA" w:rsidP="00880512">
      <w:pPr>
        <w:spacing w:after="0"/>
        <w:ind w:firstLine="720"/>
        <w:jc w:val="both"/>
      </w:pPr>
      <w:r>
        <w:t xml:space="preserve">Generally, vaccines, whose main aim is normally to reduce the morbidity and mortality of the target infection, may sometimes result in adverse reactions in the patients. </w:t>
      </w:r>
      <w:r w:rsidR="00F411C7">
        <w:t>F</w:t>
      </w:r>
      <w:r>
        <w:t xml:space="preserve">or HPV vaccines, </w:t>
      </w:r>
      <w:r w:rsidR="00A77216">
        <w:t xml:space="preserve">various adverse reactions </w:t>
      </w:r>
      <w:r w:rsidR="009C49BE">
        <w:t xml:space="preserve">are often </w:t>
      </w:r>
      <w:r w:rsidR="00670C77">
        <w:t xml:space="preserve">witnessed in individuals following the delivery of the vaccine regime. These include pain, swelling, and redness on the injection site, with various local reactions on the site. </w:t>
      </w:r>
      <w:r w:rsidR="00BD0784">
        <w:t xml:space="preserve">Additional adverse reactions include elevated temperatures in the </w:t>
      </w:r>
      <w:r w:rsidR="00B04037">
        <w:t>patients, with adverse symptoms including dizziness and nausea</w:t>
      </w:r>
      <w:r w:rsidR="00AB5547">
        <w:t>, which generally increase with an increase in dosage</w:t>
      </w:r>
      <w:r w:rsidR="00880512">
        <w:t xml:space="preserve"> </w:t>
      </w:r>
      <w:r w:rsidR="00126DDC">
        <w:t>(</w:t>
      </w:r>
      <w:r>
        <w:t>Ozawa et al., 2017</w:t>
      </w:r>
      <w:r w:rsidR="00880512">
        <w:t>).</w:t>
      </w:r>
      <w:r>
        <w:t xml:space="preserve">The </w:t>
      </w:r>
      <w:r w:rsidR="00880512">
        <w:t xml:space="preserve">Centre </w:t>
      </w:r>
      <w:r w:rsidR="0011396F">
        <w:t xml:space="preserve">for Disease Control and Prevention (CDC) has developed a document that contains information about vaccines, including the benefits and risks of each and the legal implications of these vaccines on adults and parents and guardians of minors. This document is referred to as the Vaccine </w:t>
      </w:r>
      <w:r>
        <w:t>Information Statement (VIS</w:t>
      </w:r>
      <w:r w:rsidR="00F62F42">
        <w:t>) (</w:t>
      </w:r>
      <w:r w:rsidR="00141179">
        <w:t>CDC, 2017</w:t>
      </w:r>
      <w:r w:rsidR="00501283">
        <w:t>)</w:t>
      </w:r>
      <w:r w:rsidR="0011396F">
        <w:t xml:space="preserve">. </w:t>
      </w:r>
      <w:r w:rsidR="00CC75C5">
        <w:t xml:space="preserve">Under federal law, </w:t>
      </w:r>
      <w:r w:rsidR="00E968B4">
        <w:t xml:space="preserve">VIS are considered legal documents used to address any queries that </w:t>
      </w:r>
      <w:r w:rsidR="00F62F42">
        <w:t>vaccines</w:t>
      </w:r>
      <w:r w:rsidR="00E968B4">
        <w:t xml:space="preserve"> or their representatives might have. </w:t>
      </w:r>
      <w:r w:rsidR="00891ED7">
        <w:t xml:space="preserve">The VIS </w:t>
      </w:r>
      <w:r w:rsidR="005D0DEC">
        <w:t xml:space="preserve">is important in various ways, including identifying the benefits of a vaccine, providing precise descriptions of associated risks, and provide information regarding the compensation </w:t>
      </w:r>
      <w:r w:rsidR="00F62F42">
        <w:t>programs (</w:t>
      </w:r>
      <w:r w:rsidR="00141179">
        <w:t>CDC, 2017</w:t>
      </w:r>
      <w:r w:rsidR="005D0DEC">
        <w:t xml:space="preserve">). </w:t>
      </w:r>
    </w:p>
    <w:p w:rsidR="00880512" w:rsidRDefault="00880512" w:rsidP="00425BF6">
      <w:pPr>
        <w:spacing w:after="0"/>
        <w:jc w:val="center"/>
      </w:pPr>
    </w:p>
    <w:p w:rsidR="00537D01" w:rsidRDefault="004A3FEA" w:rsidP="00425BF6">
      <w:pPr>
        <w:spacing w:after="0"/>
        <w:jc w:val="center"/>
      </w:pPr>
      <w:r>
        <w:t>References</w:t>
      </w:r>
    </w:p>
    <w:p w:rsidR="00E27FD1" w:rsidRDefault="004A3FEA" w:rsidP="00425BF6">
      <w:pPr>
        <w:spacing w:after="0"/>
        <w:ind w:left="720" w:hanging="720"/>
        <w:jc w:val="both"/>
      </w:pPr>
      <w:r w:rsidRPr="00E27FD1">
        <w:t>Barnard, M., George, P., Perryman, M. L., &amp; Wolff, L. A. (2017). Human papillomavirus (HPV) vaccine knowledge, attitudes, and uptake in college students: Implications from the Precaution Adoption Process Model. </w:t>
      </w:r>
      <w:r w:rsidRPr="00E27FD1">
        <w:rPr>
          <w:i/>
          <w:iCs/>
        </w:rPr>
        <w:t>PloS one</w:t>
      </w:r>
      <w:r w:rsidRPr="00E27FD1">
        <w:t>, </w:t>
      </w:r>
      <w:r w:rsidRPr="00E27FD1">
        <w:rPr>
          <w:i/>
          <w:iCs/>
        </w:rPr>
        <w:t>12</w:t>
      </w:r>
      <w:r w:rsidRPr="00E27FD1">
        <w:t>(8), e0182266.</w:t>
      </w:r>
    </w:p>
    <w:p w:rsidR="00824185" w:rsidRDefault="004A3FEA" w:rsidP="00425BF6">
      <w:pPr>
        <w:spacing w:after="0"/>
        <w:ind w:left="720" w:hanging="720"/>
      </w:pPr>
      <w:r>
        <w:t xml:space="preserve">Centers for Disease Control and Prevention (CDC). (2020). </w:t>
      </w:r>
      <w:r w:rsidRPr="002F0C35">
        <w:t>HPV Vaccine Recommendations</w:t>
      </w:r>
      <w:r>
        <w:t xml:space="preserve">. </w:t>
      </w:r>
      <w:r w:rsidRPr="006824DE">
        <w:rPr>
          <w:i/>
          <w:iCs/>
        </w:rPr>
        <w:t>Vaccines and Preventable Diseases</w:t>
      </w:r>
      <w:r>
        <w:rPr>
          <w:i/>
          <w:iCs/>
        </w:rPr>
        <w:t xml:space="preserve">. </w:t>
      </w:r>
      <w:r>
        <w:t xml:space="preserve">Retrieved from </w:t>
      </w:r>
      <w:hyperlink r:id="rId7" w:history="1">
        <w:r w:rsidRPr="006824DE">
          <w:rPr>
            <w:rStyle w:val="Hyperlink"/>
          </w:rPr>
          <w:t>https://www.cdc.gov/vaccines/vpd/hpv/hcp/recommendations.html</w:t>
        </w:r>
      </w:hyperlink>
    </w:p>
    <w:p w:rsidR="0007461E" w:rsidRDefault="004A3FEA" w:rsidP="00425BF6">
      <w:pPr>
        <w:spacing w:after="0"/>
        <w:ind w:left="720" w:hanging="720"/>
      </w:pPr>
      <w:r w:rsidRPr="0007461E">
        <w:t>Centers for Disease Control and Prevention. (2017). Vaccine information statements. </w:t>
      </w:r>
      <w:r w:rsidRPr="0007461E">
        <w:rPr>
          <w:i/>
          <w:iCs/>
        </w:rPr>
        <w:t>Yellow fever VIS. https://www. CDC. gov/vaccines/hcp/vis/vis-statements/yf. HTML. Accessed April28</w:t>
      </w:r>
      <w:r w:rsidRPr="0007461E">
        <w:t>.</w:t>
      </w:r>
    </w:p>
    <w:p w:rsidR="00824185" w:rsidRDefault="004A3FEA" w:rsidP="00425BF6">
      <w:pPr>
        <w:spacing w:after="0"/>
        <w:ind w:left="720" w:hanging="720"/>
        <w:jc w:val="both"/>
      </w:pPr>
      <w:r w:rsidRPr="00824185">
        <w:t>Ozawa, K., Hineno, A., Kinoshita, T., Ishihara, S., &amp; Ikeda, S. I. (2017). Suspected adverse effects after human papillomavirus vaccination: a temporal relationship between vaccine administration and the appearance of symptoms in Japan. Drug safety, 40(12), 1219-1229.</w:t>
      </w:r>
    </w:p>
    <w:p w:rsidR="00051B99" w:rsidRPr="005A7724" w:rsidRDefault="004A3FEA" w:rsidP="00425BF6">
      <w:pPr>
        <w:spacing w:after="0"/>
        <w:ind w:left="720" w:hanging="720"/>
        <w:jc w:val="both"/>
      </w:pPr>
      <w:r w:rsidRPr="00051B99">
        <w:t xml:space="preserve">World Health Organization. (2019). </w:t>
      </w:r>
      <w:r w:rsidRPr="00091298">
        <w:t>Human papillomavirus (HPV)</w:t>
      </w:r>
      <w:r w:rsidRPr="00051B99">
        <w:t xml:space="preserve"> WHO position paper, July 2017–Recommendations. </w:t>
      </w:r>
      <w:r w:rsidRPr="00051B99">
        <w:rPr>
          <w:i/>
          <w:iCs/>
        </w:rPr>
        <w:t>Vaccine</w:t>
      </w:r>
      <w:r w:rsidRPr="00051B99">
        <w:t>, </w:t>
      </w:r>
      <w:r w:rsidRPr="00051B99">
        <w:rPr>
          <w:i/>
          <w:iCs/>
        </w:rPr>
        <w:t>37</w:t>
      </w:r>
      <w:r w:rsidRPr="00051B99">
        <w:t>(2), 223-225.</w:t>
      </w:r>
    </w:p>
    <w:sectPr w:rsidR="00051B99" w:rsidRPr="005A7724"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449" w:rsidRDefault="00554449">
      <w:pPr>
        <w:spacing w:after="0" w:line="240" w:lineRule="auto"/>
      </w:pPr>
      <w:r>
        <w:separator/>
      </w:r>
    </w:p>
  </w:endnote>
  <w:endnote w:type="continuationSeparator" w:id="1">
    <w:p w:rsidR="00554449" w:rsidRDefault="005544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449" w:rsidRDefault="00554449">
      <w:pPr>
        <w:spacing w:after="0" w:line="240" w:lineRule="auto"/>
      </w:pPr>
      <w:r>
        <w:separator/>
      </w:r>
    </w:p>
  </w:footnote>
  <w:footnote w:type="continuationSeparator" w:id="1">
    <w:p w:rsidR="00554449" w:rsidRDefault="005544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A3FEA" w:rsidP="00EB2AD2">
        <w:r w:rsidRPr="003E4767">
          <w:t>PHARMACOLOGY</w:t>
        </w:r>
        <w:r>
          <w:tab/>
        </w:r>
        <w:r>
          <w:tab/>
        </w:r>
        <w:r>
          <w:tab/>
        </w:r>
        <w:r>
          <w:tab/>
        </w:r>
        <w:r>
          <w:tab/>
        </w:r>
        <w:r>
          <w:tab/>
        </w:r>
        <w:r>
          <w:tab/>
        </w:r>
        <w:r>
          <w:tab/>
        </w:r>
        <w:r>
          <w:tab/>
        </w:r>
        <w:r>
          <w:tab/>
        </w:r>
        <w:r w:rsidR="00C4287E">
          <w:fldChar w:fldCharType="begin"/>
        </w:r>
        <w:r w:rsidR="00532362">
          <w:instrText xml:space="preserve"> PAGE   \* MERGEFORMAT </w:instrText>
        </w:r>
        <w:r w:rsidR="00C4287E">
          <w:fldChar w:fldCharType="separate"/>
        </w:r>
        <w:r w:rsidR="00F62F42">
          <w:rPr>
            <w:noProof/>
          </w:rPr>
          <w:t>2</w:t>
        </w:r>
        <w:r w:rsidR="00C4287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4A3FEA" w:rsidP="000C24B1">
    <w:r>
      <w:t>Running head:</w:t>
    </w:r>
    <w:r w:rsidR="00880512">
      <w:t xml:space="preserve"> </w:t>
    </w:r>
    <w:r w:rsidR="003E4767" w:rsidRPr="003E4767">
      <w:t>PHARMACOLOGY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C6FC5A58">
      <w:start w:val="1"/>
      <w:numFmt w:val="decimal"/>
      <w:lvlText w:val="%1."/>
      <w:lvlJc w:val="left"/>
      <w:pPr>
        <w:ind w:left="720" w:hanging="360"/>
      </w:pPr>
    </w:lvl>
    <w:lvl w:ilvl="1" w:tplc="4E0CB378">
      <w:start w:val="1"/>
      <w:numFmt w:val="lowerLetter"/>
      <w:lvlText w:val="%2."/>
      <w:lvlJc w:val="left"/>
      <w:pPr>
        <w:ind w:left="1440" w:hanging="360"/>
      </w:pPr>
    </w:lvl>
    <w:lvl w:ilvl="2" w:tplc="7ECE17A4">
      <w:start w:val="1"/>
      <w:numFmt w:val="lowerRoman"/>
      <w:lvlText w:val="%3."/>
      <w:lvlJc w:val="right"/>
      <w:pPr>
        <w:ind w:left="2160" w:hanging="180"/>
      </w:pPr>
    </w:lvl>
    <w:lvl w:ilvl="3" w:tplc="315C16DC">
      <w:start w:val="1"/>
      <w:numFmt w:val="decimal"/>
      <w:lvlText w:val="%4."/>
      <w:lvlJc w:val="left"/>
      <w:pPr>
        <w:ind w:left="2880" w:hanging="360"/>
      </w:pPr>
    </w:lvl>
    <w:lvl w:ilvl="4" w:tplc="4ABA1A54">
      <w:start w:val="1"/>
      <w:numFmt w:val="lowerLetter"/>
      <w:lvlText w:val="%5."/>
      <w:lvlJc w:val="left"/>
      <w:pPr>
        <w:ind w:left="3600" w:hanging="360"/>
      </w:pPr>
    </w:lvl>
    <w:lvl w:ilvl="5" w:tplc="4BC8B4D4">
      <w:start w:val="1"/>
      <w:numFmt w:val="lowerRoman"/>
      <w:lvlText w:val="%6."/>
      <w:lvlJc w:val="right"/>
      <w:pPr>
        <w:ind w:left="4320" w:hanging="180"/>
      </w:pPr>
    </w:lvl>
    <w:lvl w:ilvl="6" w:tplc="A8E87180">
      <w:start w:val="1"/>
      <w:numFmt w:val="decimal"/>
      <w:lvlText w:val="%7."/>
      <w:lvlJc w:val="left"/>
      <w:pPr>
        <w:ind w:left="5040" w:hanging="360"/>
      </w:pPr>
    </w:lvl>
    <w:lvl w:ilvl="7" w:tplc="C504D5EC">
      <w:start w:val="1"/>
      <w:numFmt w:val="lowerLetter"/>
      <w:lvlText w:val="%8."/>
      <w:lvlJc w:val="left"/>
      <w:pPr>
        <w:ind w:left="5760" w:hanging="360"/>
      </w:pPr>
    </w:lvl>
    <w:lvl w:ilvl="8" w:tplc="564E7E02">
      <w:start w:val="1"/>
      <w:numFmt w:val="lowerRoman"/>
      <w:lvlText w:val="%9."/>
      <w:lvlJc w:val="right"/>
      <w:pPr>
        <w:ind w:left="6480" w:hanging="180"/>
      </w:pPr>
    </w:lvl>
  </w:abstractNum>
  <w:abstractNum w:abstractNumId="3">
    <w:nsid w:val="1B1F1863"/>
    <w:multiLevelType w:val="hybridMultilevel"/>
    <w:tmpl w:val="8E18D3A0"/>
    <w:lvl w:ilvl="0" w:tplc="FE2A535E">
      <w:start w:val="1"/>
      <w:numFmt w:val="bullet"/>
      <w:lvlText w:val=""/>
      <w:lvlJc w:val="left"/>
      <w:pPr>
        <w:ind w:left="780" w:hanging="360"/>
      </w:pPr>
      <w:rPr>
        <w:rFonts w:ascii="Symbol" w:hAnsi="Symbol" w:hint="default"/>
      </w:rPr>
    </w:lvl>
    <w:lvl w:ilvl="1" w:tplc="B8F29D70" w:tentative="1">
      <w:start w:val="1"/>
      <w:numFmt w:val="bullet"/>
      <w:lvlText w:val="o"/>
      <w:lvlJc w:val="left"/>
      <w:pPr>
        <w:ind w:left="1500" w:hanging="360"/>
      </w:pPr>
      <w:rPr>
        <w:rFonts w:ascii="Courier New" w:hAnsi="Courier New" w:cs="Courier New" w:hint="default"/>
      </w:rPr>
    </w:lvl>
    <w:lvl w:ilvl="2" w:tplc="6C6E4B46" w:tentative="1">
      <w:start w:val="1"/>
      <w:numFmt w:val="bullet"/>
      <w:lvlText w:val=""/>
      <w:lvlJc w:val="left"/>
      <w:pPr>
        <w:ind w:left="2220" w:hanging="360"/>
      </w:pPr>
      <w:rPr>
        <w:rFonts w:ascii="Wingdings" w:hAnsi="Wingdings" w:hint="default"/>
      </w:rPr>
    </w:lvl>
    <w:lvl w:ilvl="3" w:tplc="3ED00804" w:tentative="1">
      <w:start w:val="1"/>
      <w:numFmt w:val="bullet"/>
      <w:lvlText w:val=""/>
      <w:lvlJc w:val="left"/>
      <w:pPr>
        <w:ind w:left="2940" w:hanging="360"/>
      </w:pPr>
      <w:rPr>
        <w:rFonts w:ascii="Symbol" w:hAnsi="Symbol" w:hint="default"/>
      </w:rPr>
    </w:lvl>
    <w:lvl w:ilvl="4" w:tplc="F260D4E8" w:tentative="1">
      <w:start w:val="1"/>
      <w:numFmt w:val="bullet"/>
      <w:lvlText w:val="o"/>
      <w:lvlJc w:val="left"/>
      <w:pPr>
        <w:ind w:left="3660" w:hanging="360"/>
      </w:pPr>
      <w:rPr>
        <w:rFonts w:ascii="Courier New" w:hAnsi="Courier New" w:cs="Courier New" w:hint="default"/>
      </w:rPr>
    </w:lvl>
    <w:lvl w:ilvl="5" w:tplc="4B2C6CCA" w:tentative="1">
      <w:start w:val="1"/>
      <w:numFmt w:val="bullet"/>
      <w:lvlText w:val=""/>
      <w:lvlJc w:val="left"/>
      <w:pPr>
        <w:ind w:left="4380" w:hanging="360"/>
      </w:pPr>
      <w:rPr>
        <w:rFonts w:ascii="Wingdings" w:hAnsi="Wingdings" w:hint="default"/>
      </w:rPr>
    </w:lvl>
    <w:lvl w:ilvl="6" w:tplc="E97E3D02" w:tentative="1">
      <w:start w:val="1"/>
      <w:numFmt w:val="bullet"/>
      <w:lvlText w:val=""/>
      <w:lvlJc w:val="left"/>
      <w:pPr>
        <w:ind w:left="5100" w:hanging="360"/>
      </w:pPr>
      <w:rPr>
        <w:rFonts w:ascii="Symbol" w:hAnsi="Symbol" w:hint="default"/>
      </w:rPr>
    </w:lvl>
    <w:lvl w:ilvl="7" w:tplc="C9509A00" w:tentative="1">
      <w:start w:val="1"/>
      <w:numFmt w:val="bullet"/>
      <w:lvlText w:val="o"/>
      <w:lvlJc w:val="left"/>
      <w:pPr>
        <w:ind w:left="5820" w:hanging="360"/>
      </w:pPr>
      <w:rPr>
        <w:rFonts w:ascii="Courier New" w:hAnsi="Courier New" w:cs="Courier New" w:hint="default"/>
      </w:rPr>
    </w:lvl>
    <w:lvl w:ilvl="8" w:tplc="753E6A32"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E32243FC">
      <w:start w:val="1"/>
      <w:numFmt w:val="bullet"/>
      <w:lvlText w:val=""/>
      <w:lvlJc w:val="left"/>
      <w:pPr>
        <w:ind w:left="720" w:hanging="360"/>
      </w:pPr>
      <w:rPr>
        <w:rFonts w:ascii="Symbol" w:hAnsi="Symbol" w:hint="default"/>
      </w:rPr>
    </w:lvl>
    <w:lvl w:ilvl="1" w:tplc="78CEEF3E" w:tentative="1">
      <w:start w:val="1"/>
      <w:numFmt w:val="bullet"/>
      <w:lvlText w:val="o"/>
      <w:lvlJc w:val="left"/>
      <w:pPr>
        <w:ind w:left="1440" w:hanging="360"/>
      </w:pPr>
      <w:rPr>
        <w:rFonts w:ascii="Courier New" w:hAnsi="Courier New" w:cs="Courier New" w:hint="default"/>
      </w:rPr>
    </w:lvl>
    <w:lvl w:ilvl="2" w:tplc="A0BE40B8" w:tentative="1">
      <w:start w:val="1"/>
      <w:numFmt w:val="bullet"/>
      <w:lvlText w:val=""/>
      <w:lvlJc w:val="left"/>
      <w:pPr>
        <w:ind w:left="2160" w:hanging="360"/>
      </w:pPr>
      <w:rPr>
        <w:rFonts w:ascii="Wingdings" w:hAnsi="Wingdings" w:hint="default"/>
      </w:rPr>
    </w:lvl>
    <w:lvl w:ilvl="3" w:tplc="56462380" w:tentative="1">
      <w:start w:val="1"/>
      <w:numFmt w:val="bullet"/>
      <w:lvlText w:val=""/>
      <w:lvlJc w:val="left"/>
      <w:pPr>
        <w:ind w:left="2880" w:hanging="360"/>
      </w:pPr>
      <w:rPr>
        <w:rFonts w:ascii="Symbol" w:hAnsi="Symbol" w:hint="default"/>
      </w:rPr>
    </w:lvl>
    <w:lvl w:ilvl="4" w:tplc="6568C88E" w:tentative="1">
      <w:start w:val="1"/>
      <w:numFmt w:val="bullet"/>
      <w:lvlText w:val="o"/>
      <w:lvlJc w:val="left"/>
      <w:pPr>
        <w:ind w:left="3600" w:hanging="360"/>
      </w:pPr>
      <w:rPr>
        <w:rFonts w:ascii="Courier New" w:hAnsi="Courier New" w:cs="Courier New" w:hint="default"/>
      </w:rPr>
    </w:lvl>
    <w:lvl w:ilvl="5" w:tplc="9D30CB5C" w:tentative="1">
      <w:start w:val="1"/>
      <w:numFmt w:val="bullet"/>
      <w:lvlText w:val=""/>
      <w:lvlJc w:val="left"/>
      <w:pPr>
        <w:ind w:left="4320" w:hanging="360"/>
      </w:pPr>
      <w:rPr>
        <w:rFonts w:ascii="Wingdings" w:hAnsi="Wingdings" w:hint="default"/>
      </w:rPr>
    </w:lvl>
    <w:lvl w:ilvl="6" w:tplc="3AD4631C" w:tentative="1">
      <w:start w:val="1"/>
      <w:numFmt w:val="bullet"/>
      <w:lvlText w:val=""/>
      <w:lvlJc w:val="left"/>
      <w:pPr>
        <w:ind w:left="5040" w:hanging="360"/>
      </w:pPr>
      <w:rPr>
        <w:rFonts w:ascii="Symbol" w:hAnsi="Symbol" w:hint="default"/>
      </w:rPr>
    </w:lvl>
    <w:lvl w:ilvl="7" w:tplc="AB5C9ADC" w:tentative="1">
      <w:start w:val="1"/>
      <w:numFmt w:val="bullet"/>
      <w:lvlText w:val="o"/>
      <w:lvlJc w:val="left"/>
      <w:pPr>
        <w:ind w:left="5760" w:hanging="360"/>
      </w:pPr>
      <w:rPr>
        <w:rFonts w:ascii="Courier New" w:hAnsi="Courier New" w:cs="Courier New" w:hint="default"/>
      </w:rPr>
    </w:lvl>
    <w:lvl w:ilvl="8" w:tplc="5772186E"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A28A1ABC">
      <w:start w:val="1"/>
      <w:numFmt w:val="decimal"/>
      <w:lvlText w:val="%1."/>
      <w:lvlJc w:val="left"/>
      <w:pPr>
        <w:ind w:left="720" w:hanging="360"/>
      </w:pPr>
    </w:lvl>
    <w:lvl w:ilvl="1" w:tplc="038099CE" w:tentative="1">
      <w:start w:val="1"/>
      <w:numFmt w:val="lowerLetter"/>
      <w:lvlText w:val="%2."/>
      <w:lvlJc w:val="left"/>
      <w:pPr>
        <w:ind w:left="1440" w:hanging="360"/>
      </w:pPr>
    </w:lvl>
    <w:lvl w:ilvl="2" w:tplc="DC622A52" w:tentative="1">
      <w:start w:val="1"/>
      <w:numFmt w:val="lowerRoman"/>
      <w:lvlText w:val="%3."/>
      <w:lvlJc w:val="right"/>
      <w:pPr>
        <w:ind w:left="2160" w:hanging="180"/>
      </w:pPr>
    </w:lvl>
    <w:lvl w:ilvl="3" w:tplc="E4FAFC58" w:tentative="1">
      <w:start w:val="1"/>
      <w:numFmt w:val="decimal"/>
      <w:lvlText w:val="%4."/>
      <w:lvlJc w:val="left"/>
      <w:pPr>
        <w:ind w:left="2880" w:hanging="360"/>
      </w:pPr>
    </w:lvl>
    <w:lvl w:ilvl="4" w:tplc="6FFCB69C" w:tentative="1">
      <w:start w:val="1"/>
      <w:numFmt w:val="lowerLetter"/>
      <w:lvlText w:val="%5."/>
      <w:lvlJc w:val="left"/>
      <w:pPr>
        <w:ind w:left="3600" w:hanging="360"/>
      </w:pPr>
    </w:lvl>
    <w:lvl w:ilvl="5" w:tplc="1D54A8F4" w:tentative="1">
      <w:start w:val="1"/>
      <w:numFmt w:val="lowerRoman"/>
      <w:lvlText w:val="%6."/>
      <w:lvlJc w:val="right"/>
      <w:pPr>
        <w:ind w:left="4320" w:hanging="180"/>
      </w:pPr>
    </w:lvl>
    <w:lvl w:ilvl="6" w:tplc="1152BA2A" w:tentative="1">
      <w:start w:val="1"/>
      <w:numFmt w:val="decimal"/>
      <w:lvlText w:val="%7."/>
      <w:lvlJc w:val="left"/>
      <w:pPr>
        <w:ind w:left="5040" w:hanging="360"/>
      </w:pPr>
    </w:lvl>
    <w:lvl w:ilvl="7" w:tplc="73CCDA30" w:tentative="1">
      <w:start w:val="1"/>
      <w:numFmt w:val="lowerLetter"/>
      <w:lvlText w:val="%8."/>
      <w:lvlJc w:val="left"/>
      <w:pPr>
        <w:ind w:left="5760" w:hanging="360"/>
      </w:pPr>
    </w:lvl>
    <w:lvl w:ilvl="8" w:tplc="DBE4627A"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31060A60">
      <w:start w:val="1"/>
      <w:numFmt w:val="bullet"/>
      <w:lvlText w:val=""/>
      <w:lvlJc w:val="left"/>
      <w:pPr>
        <w:ind w:left="720" w:hanging="360"/>
      </w:pPr>
      <w:rPr>
        <w:rFonts w:ascii="Symbol" w:hAnsi="Symbol" w:hint="default"/>
      </w:rPr>
    </w:lvl>
    <w:lvl w:ilvl="1" w:tplc="7F7AE4FA" w:tentative="1">
      <w:start w:val="1"/>
      <w:numFmt w:val="bullet"/>
      <w:lvlText w:val="o"/>
      <w:lvlJc w:val="left"/>
      <w:pPr>
        <w:ind w:left="1440" w:hanging="360"/>
      </w:pPr>
      <w:rPr>
        <w:rFonts w:ascii="Courier New" w:hAnsi="Courier New" w:cs="Courier New" w:hint="default"/>
      </w:rPr>
    </w:lvl>
    <w:lvl w:ilvl="2" w:tplc="0C405CE8" w:tentative="1">
      <w:start w:val="1"/>
      <w:numFmt w:val="bullet"/>
      <w:lvlText w:val=""/>
      <w:lvlJc w:val="left"/>
      <w:pPr>
        <w:ind w:left="2160" w:hanging="360"/>
      </w:pPr>
      <w:rPr>
        <w:rFonts w:ascii="Wingdings" w:hAnsi="Wingdings" w:hint="default"/>
      </w:rPr>
    </w:lvl>
    <w:lvl w:ilvl="3" w:tplc="B726D25C" w:tentative="1">
      <w:start w:val="1"/>
      <w:numFmt w:val="bullet"/>
      <w:lvlText w:val=""/>
      <w:lvlJc w:val="left"/>
      <w:pPr>
        <w:ind w:left="2880" w:hanging="360"/>
      </w:pPr>
      <w:rPr>
        <w:rFonts w:ascii="Symbol" w:hAnsi="Symbol" w:hint="default"/>
      </w:rPr>
    </w:lvl>
    <w:lvl w:ilvl="4" w:tplc="8DE0625E" w:tentative="1">
      <w:start w:val="1"/>
      <w:numFmt w:val="bullet"/>
      <w:lvlText w:val="o"/>
      <w:lvlJc w:val="left"/>
      <w:pPr>
        <w:ind w:left="3600" w:hanging="360"/>
      </w:pPr>
      <w:rPr>
        <w:rFonts w:ascii="Courier New" w:hAnsi="Courier New" w:cs="Courier New" w:hint="default"/>
      </w:rPr>
    </w:lvl>
    <w:lvl w:ilvl="5" w:tplc="10A62E58" w:tentative="1">
      <w:start w:val="1"/>
      <w:numFmt w:val="bullet"/>
      <w:lvlText w:val=""/>
      <w:lvlJc w:val="left"/>
      <w:pPr>
        <w:ind w:left="4320" w:hanging="360"/>
      </w:pPr>
      <w:rPr>
        <w:rFonts w:ascii="Wingdings" w:hAnsi="Wingdings" w:hint="default"/>
      </w:rPr>
    </w:lvl>
    <w:lvl w:ilvl="6" w:tplc="4D648E46" w:tentative="1">
      <w:start w:val="1"/>
      <w:numFmt w:val="bullet"/>
      <w:lvlText w:val=""/>
      <w:lvlJc w:val="left"/>
      <w:pPr>
        <w:ind w:left="5040" w:hanging="360"/>
      </w:pPr>
      <w:rPr>
        <w:rFonts w:ascii="Symbol" w:hAnsi="Symbol" w:hint="default"/>
      </w:rPr>
    </w:lvl>
    <w:lvl w:ilvl="7" w:tplc="742C3420" w:tentative="1">
      <w:start w:val="1"/>
      <w:numFmt w:val="bullet"/>
      <w:lvlText w:val="o"/>
      <w:lvlJc w:val="left"/>
      <w:pPr>
        <w:ind w:left="5760" w:hanging="360"/>
      </w:pPr>
      <w:rPr>
        <w:rFonts w:ascii="Courier New" w:hAnsi="Courier New" w:cs="Courier New" w:hint="default"/>
      </w:rPr>
    </w:lvl>
    <w:lvl w:ilvl="8" w:tplc="20C80426"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327E6A96">
      <w:start w:val="1"/>
      <w:numFmt w:val="decimal"/>
      <w:lvlText w:val="%1."/>
      <w:lvlJc w:val="left"/>
      <w:pPr>
        <w:ind w:left="720" w:hanging="360"/>
      </w:pPr>
    </w:lvl>
    <w:lvl w:ilvl="1" w:tplc="74D8DBEC" w:tentative="1">
      <w:start w:val="1"/>
      <w:numFmt w:val="lowerLetter"/>
      <w:lvlText w:val="%2."/>
      <w:lvlJc w:val="left"/>
      <w:pPr>
        <w:ind w:left="1440" w:hanging="360"/>
      </w:pPr>
    </w:lvl>
    <w:lvl w:ilvl="2" w:tplc="96140AF2" w:tentative="1">
      <w:start w:val="1"/>
      <w:numFmt w:val="lowerRoman"/>
      <w:lvlText w:val="%3."/>
      <w:lvlJc w:val="right"/>
      <w:pPr>
        <w:ind w:left="2160" w:hanging="180"/>
      </w:pPr>
    </w:lvl>
    <w:lvl w:ilvl="3" w:tplc="37B20A76" w:tentative="1">
      <w:start w:val="1"/>
      <w:numFmt w:val="decimal"/>
      <w:lvlText w:val="%4."/>
      <w:lvlJc w:val="left"/>
      <w:pPr>
        <w:ind w:left="2880" w:hanging="360"/>
      </w:pPr>
    </w:lvl>
    <w:lvl w:ilvl="4" w:tplc="D60E6686" w:tentative="1">
      <w:start w:val="1"/>
      <w:numFmt w:val="lowerLetter"/>
      <w:lvlText w:val="%5."/>
      <w:lvlJc w:val="left"/>
      <w:pPr>
        <w:ind w:left="3600" w:hanging="360"/>
      </w:pPr>
    </w:lvl>
    <w:lvl w:ilvl="5" w:tplc="9098A1CA" w:tentative="1">
      <w:start w:val="1"/>
      <w:numFmt w:val="lowerRoman"/>
      <w:lvlText w:val="%6."/>
      <w:lvlJc w:val="right"/>
      <w:pPr>
        <w:ind w:left="4320" w:hanging="180"/>
      </w:pPr>
    </w:lvl>
    <w:lvl w:ilvl="6" w:tplc="54B4E956" w:tentative="1">
      <w:start w:val="1"/>
      <w:numFmt w:val="decimal"/>
      <w:lvlText w:val="%7."/>
      <w:lvlJc w:val="left"/>
      <w:pPr>
        <w:ind w:left="5040" w:hanging="360"/>
      </w:pPr>
    </w:lvl>
    <w:lvl w:ilvl="7" w:tplc="31A289FA" w:tentative="1">
      <w:start w:val="1"/>
      <w:numFmt w:val="lowerLetter"/>
      <w:lvlText w:val="%8."/>
      <w:lvlJc w:val="left"/>
      <w:pPr>
        <w:ind w:left="5760" w:hanging="360"/>
      </w:pPr>
    </w:lvl>
    <w:lvl w:ilvl="8" w:tplc="CAE8AF30"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AA3"/>
    <w:rsid w:val="00025EF1"/>
    <w:rsid w:val="0002683F"/>
    <w:rsid w:val="00030384"/>
    <w:rsid w:val="0003146C"/>
    <w:rsid w:val="000373EB"/>
    <w:rsid w:val="00037D48"/>
    <w:rsid w:val="000459FD"/>
    <w:rsid w:val="00051B99"/>
    <w:rsid w:val="00053C2D"/>
    <w:rsid w:val="00054ECD"/>
    <w:rsid w:val="000557F7"/>
    <w:rsid w:val="00055A2D"/>
    <w:rsid w:val="00055CFC"/>
    <w:rsid w:val="00056270"/>
    <w:rsid w:val="00056C6E"/>
    <w:rsid w:val="00056DA8"/>
    <w:rsid w:val="00057D23"/>
    <w:rsid w:val="00057F2F"/>
    <w:rsid w:val="00060433"/>
    <w:rsid w:val="000633C3"/>
    <w:rsid w:val="0006350A"/>
    <w:rsid w:val="00063A69"/>
    <w:rsid w:val="00066641"/>
    <w:rsid w:val="0007461E"/>
    <w:rsid w:val="000765A9"/>
    <w:rsid w:val="0007681D"/>
    <w:rsid w:val="00080377"/>
    <w:rsid w:val="00080BC3"/>
    <w:rsid w:val="000829EB"/>
    <w:rsid w:val="00086D27"/>
    <w:rsid w:val="00091298"/>
    <w:rsid w:val="00092D96"/>
    <w:rsid w:val="000935CE"/>
    <w:rsid w:val="0009526F"/>
    <w:rsid w:val="00096A36"/>
    <w:rsid w:val="00097EB2"/>
    <w:rsid w:val="000A1889"/>
    <w:rsid w:val="000A28BE"/>
    <w:rsid w:val="000A28F8"/>
    <w:rsid w:val="000A3D9F"/>
    <w:rsid w:val="000A6447"/>
    <w:rsid w:val="000A6E4E"/>
    <w:rsid w:val="000B513B"/>
    <w:rsid w:val="000B6CB1"/>
    <w:rsid w:val="000C02EB"/>
    <w:rsid w:val="000C0711"/>
    <w:rsid w:val="000C20B9"/>
    <w:rsid w:val="000C24B1"/>
    <w:rsid w:val="000C2CFD"/>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6DE7"/>
    <w:rsid w:val="001030D5"/>
    <w:rsid w:val="00104288"/>
    <w:rsid w:val="00106A84"/>
    <w:rsid w:val="00110EB6"/>
    <w:rsid w:val="00111FE5"/>
    <w:rsid w:val="00113320"/>
    <w:rsid w:val="0011396F"/>
    <w:rsid w:val="00114215"/>
    <w:rsid w:val="00114B66"/>
    <w:rsid w:val="00115B85"/>
    <w:rsid w:val="00117B15"/>
    <w:rsid w:val="001202A1"/>
    <w:rsid w:val="00126DDC"/>
    <w:rsid w:val="00127DFA"/>
    <w:rsid w:val="00131A91"/>
    <w:rsid w:val="00132C56"/>
    <w:rsid w:val="00132CF6"/>
    <w:rsid w:val="0013502D"/>
    <w:rsid w:val="00135D23"/>
    <w:rsid w:val="00136B53"/>
    <w:rsid w:val="00141179"/>
    <w:rsid w:val="001424C8"/>
    <w:rsid w:val="001448AE"/>
    <w:rsid w:val="00145BBD"/>
    <w:rsid w:val="00150169"/>
    <w:rsid w:val="00150C0C"/>
    <w:rsid w:val="00151B37"/>
    <w:rsid w:val="00154DB3"/>
    <w:rsid w:val="001566E9"/>
    <w:rsid w:val="001577CB"/>
    <w:rsid w:val="0016027A"/>
    <w:rsid w:val="00163DD3"/>
    <w:rsid w:val="00164CBB"/>
    <w:rsid w:val="001665DC"/>
    <w:rsid w:val="00166F23"/>
    <w:rsid w:val="00167105"/>
    <w:rsid w:val="001720CA"/>
    <w:rsid w:val="00172FA9"/>
    <w:rsid w:val="0017352D"/>
    <w:rsid w:val="0017635C"/>
    <w:rsid w:val="0018123B"/>
    <w:rsid w:val="001812E5"/>
    <w:rsid w:val="001829BE"/>
    <w:rsid w:val="00185BB2"/>
    <w:rsid w:val="00187CB0"/>
    <w:rsid w:val="00191912"/>
    <w:rsid w:val="00196365"/>
    <w:rsid w:val="001A05E8"/>
    <w:rsid w:val="001A34D0"/>
    <w:rsid w:val="001A5BD6"/>
    <w:rsid w:val="001B1A57"/>
    <w:rsid w:val="001B1E78"/>
    <w:rsid w:val="001B3D3D"/>
    <w:rsid w:val="001B45DF"/>
    <w:rsid w:val="001B6CFB"/>
    <w:rsid w:val="001C077A"/>
    <w:rsid w:val="001C16E1"/>
    <w:rsid w:val="001C44AC"/>
    <w:rsid w:val="001C595D"/>
    <w:rsid w:val="001C6CA4"/>
    <w:rsid w:val="001D0461"/>
    <w:rsid w:val="001D1A56"/>
    <w:rsid w:val="001D211A"/>
    <w:rsid w:val="001D4C24"/>
    <w:rsid w:val="001D53BC"/>
    <w:rsid w:val="001D63C1"/>
    <w:rsid w:val="001D7791"/>
    <w:rsid w:val="001E3D3A"/>
    <w:rsid w:val="001E48B0"/>
    <w:rsid w:val="001E522F"/>
    <w:rsid w:val="001F648A"/>
    <w:rsid w:val="001F68CA"/>
    <w:rsid w:val="001F75D6"/>
    <w:rsid w:val="001F787F"/>
    <w:rsid w:val="0020211E"/>
    <w:rsid w:val="002022D3"/>
    <w:rsid w:val="002040A1"/>
    <w:rsid w:val="002040E1"/>
    <w:rsid w:val="00205F58"/>
    <w:rsid w:val="00221D8C"/>
    <w:rsid w:val="00222A91"/>
    <w:rsid w:val="002230CA"/>
    <w:rsid w:val="00224B84"/>
    <w:rsid w:val="00226102"/>
    <w:rsid w:val="002271C2"/>
    <w:rsid w:val="00230C0D"/>
    <w:rsid w:val="002314FB"/>
    <w:rsid w:val="00231CDC"/>
    <w:rsid w:val="00234367"/>
    <w:rsid w:val="00235312"/>
    <w:rsid w:val="00236394"/>
    <w:rsid w:val="002375D6"/>
    <w:rsid w:val="00237A1A"/>
    <w:rsid w:val="002419AA"/>
    <w:rsid w:val="002424E9"/>
    <w:rsid w:val="00252077"/>
    <w:rsid w:val="0025571D"/>
    <w:rsid w:val="00257328"/>
    <w:rsid w:val="00257A49"/>
    <w:rsid w:val="00263056"/>
    <w:rsid w:val="00264F9F"/>
    <w:rsid w:val="00270B66"/>
    <w:rsid w:val="00270F48"/>
    <w:rsid w:val="0027172D"/>
    <w:rsid w:val="00275BCF"/>
    <w:rsid w:val="00280555"/>
    <w:rsid w:val="00284F99"/>
    <w:rsid w:val="0029052F"/>
    <w:rsid w:val="002A004A"/>
    <w:rsid w:val="002A0081"/>
    <w:rsid w:val="002A23E7"/>
    <w:rsid w:val="002A3417"/>
    <w:rsid w:val="002A3C91"/>
    <w:rsid w:val="002A4929"/>
    <w:rsid w:val="002A49CA"/>
    <w:rsid w:val="002A610C"/>
    <w:rsid w:val="002A651E"/>
    <w:rsid w:val="002B2FC1"/>
    <w:rsid w:val="002B3E12"/>
    <w:rsid w:val="002B4319"/>
    <w:rsid w:val="002B5072"/>
    <w:rsid w:val="002B554B"/>
    <w:rsid w:val="002B5B32"/>
    <w:rsid w:val="002C3597"/>
    <w:rsid w:val="002C6D06"/>
    <w:rsid w:val="002D0716"/>
    <w:rsid w:val="002D0EC8"/>
    <w:rsid w:val="002D24EB"/>
    <w:rsid w:val="002D5739"/>
    <w:rsid w:val="002E153F"/>
    <w:rsid w:val="002E443B"/>
    <w:rsid w:val="002E4995"/>
    <w:rsid w:val="002E5DA0"/>
    <w:rsid w:val="002E603C"/>
    <w:rsid w:val="002E627D"/>
    <w:rsid w:val="002E6C0E"/>
    <w:rsid w:val="002E6C48"/>
    <w:rsid w:val="002F0C35"/>
    <w:rsid w:val="002F5C14"/>
    <w:rsid w:val="002F7689"/>
    <w:rsid w:val="00300268"/>
    <w:rsid w:val="00300C60"/>
    <w:rsid w:val="0030107F"/>
    <w:rsid w:val="00302894"/>
    <w:rsid w:val="00303A34"/>
    <w:rsid w:val="00303E34"/>
    <w:rsid w:val="003044D6"/>
    <w:rsid w:val="00304681"/>
    <w:rsid w:val="00306605"/>
    <w:rsid w:val="00306CBC"/>
    <w:rsid w:val="00307200"/>
    <w:rsid w:val="003077D6"/>
    <w:rsid w:val="00307AD9"/>
    <w:rsid w:val="00310C0E"/>
    <w:rsid w:val="00312819"/>
    <w:rsid w:val="00312E8D"/>
    <w:rsid w:val="00313D3B"/>
    <w:rsid w:val="0031489A"/>
    <w:rsid w:val="0031680E"/>
    <w:rsid w:val="00320808"/>
    <w:rsid w:val="00321B59"/>
    <w:rsid w:val="00321EDD"/>
    <w:rsid w:val="00322AEA"/>
    <w:rsid w:val="003244BB"/>
    <w:rsid w:val="00324713"/>
    <w:rsid w:val="00325C21"/>
    <w:rsid w:val="003302F4"/>
    <w:rsid w:val="0033153C"/>
    <w:rsid w:val="00332553"/>
    <w:rsid w:val="00334B48"/>
    <w:rsid w:val="00336561"/>
    <w:rsid w:val="00342CCC"/>
    <w:rsid w:val="0034322D"/>
    <w:rsid w:val="003449D4"/>
    <w:rsid w:val="00344F49"/>
    <w:rsid w:val="0034514A"/>
    <w:rsid w:val="00345E8E"/>
    <w:rsid w:val="0034727F"/>
    <w:rsid w:val="003473A0"/>
    <w:rsid w:val="00357296"/>
    <w:rsid w:val="003600EC"/>
    <w:rsid w:val="00361D82"/>
    <w:rsid w:val="00361EEE"/>
    <w:rsid w:val="003659B1"/>
    <w:rsid w:val="00366F3E"/>
    <w:rsid w:val="003739BB"/>
    <w:rsid w:val="00374DF5"/>
    <w:rsid w:val="0038092D"/>
    <w:rsid w:val="00385355"/>
    <w:rsid w:val="00385A4B"/>
    <w:rsid w:val="00386BB4"/>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4013"/>
    <w:rsid w:val="003B61DA"/>
    <w:rsid w:val="003C2B59"/>
    <w:rsid w:val="003C6B46"/>
    <w:rsid w:val="003D0B76"/>
    <w:rsid w:val="003D1A43"/>
    <w:rsid w:val="003D1ACD"/>
    <w:rsid w:val="003D1FF2"/>
    <w:rsid w:val="003D2BEE"/>
    <w:rsid w:val="003E18A8"/>
    <w:rsid w:val="003E3126"/>
    <w:rsid w:val="003E4767"/>
    <w:rsid w:val="003E4C88"/>
    <w:rsid w:val="003E5EF4"/>
    <w:rsid w:val="003E6BEB"/>
    <w:rsid w:val="003F021C"/>
    <w:rsid w:val="003F1FDE"/>
    <w:rsid w:val="003F54C3"/>
    <w:rsid w:val="003F5A73"/>
    <w:rsid w:val="003F73CC"/>
    <w:rsid w:val="003F764C"/>
    <w:rsid w:val="00400AA9"/>
    <w:rsid w:val="004058F9"/>
    <w:rsid w:val="0041022E"/>
    <w:rsid w:val="004102E5"/>
    <w:rsid w:val="00410794"/>
    <w:rsid w:val="0041083A"/>
    <w:rsid w:val="00423E91"/>
    <w:rsid w:val="00425BF6"/>
    <w:rsid w:val="00427744"/>
    <w:rsid w:val="00434131"/>
    <w:rsid w:val="00434C05"/>
    <w:rsid w:val="0043683C"/>
    <w:rsid w:val="004409FC"/>
    <w:rsid w:val="00440CB3"/>
    <w:rsid w:val="00446451"/>
    <w:rsid w:val="00447446"/>
    <w:rsid w:val="00450287"/>
    <w:rsid w:val="00452B74"/>
    <w:rsid w:val="00453D48"/>
    <w:rsid w:val="00454346"/>
    <w:rsid w:val="0045733A"/>
    <w:rsid w:val="0046201C"/>
    <w:rsid w:val="00464FEB"/>
    <w:rsid w:val="004659B4"/>
    <w:rsid w:val="004668F5"/>
    <w:rsid w:val="00466A9E"/>
    <w:rsid w:val="00466B1D"/>
    <w:rsid w:val="00466F89"/>
    <w:rsid w:val="004720E4"/>
    <w:rsid w:val="0047415C"/>
    <w:rsid w:val="00475C2F"/>
    <w:rsid w:val="0047702C"/>
    <w:rsid w:val="00477FBF"/>
    <w:rsid w:val="00481292"/>
    <w:rsid w:val="004814B7"/>
    <w:rsid w:val="00482567"/>
    <w:rsid w:val="00482CA0"/>
    <w:rsid w:val="00484595"/>
    <w:rsid w:val="004850DF"/>
    <w:rsid w:val="004858FB"/>
    <w:rsid w:val="0049069C"/>
    <w:rsid w:val="00492556"/>
    <w:rsid w:val="00494ADB"/>
    <w:rsid w:val="00494EED"/>
    <w:rsid w:val="004979B3"/>
    <w:rsid w:val="00497C58"/>
    <w:rsid w:val="004A1DCC"/>
    <w:rsid w:val="004A1DEA"/>
    <w:rsid w:val="004A3FEA"/>
    <w:rsid w:val="004A6569"/>
    <w:rsid w:val="004B0B3D"/>
    <w:rsid w:val="004C0A3F"/>
    <w:rsid w:val="004C1174"/>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1CC7"/>
    <w:rsid w:val="004F3B75"/>
    <w:rsid w:val="004F430B"/>
    <w:rsid w:val="004F745F"/>
    <w:rsid w:val="00500679"/>
    <w:rsid w:val="00501283"/>
    <w:rsid w:val="00510B01"/>
    <w:rsid w:val="00510EFD"/>
    <w:rsid w:val="00513625"/>
    <w:rsid w:val="00515602"/>
    <w:rsid w:val="00521C71"/>
    <w:rsid w:val="005235EF"/>
    <w:rsid w:val="005245AD"/>
    <w:rsid w:val="00524F48"/>
    <w:rsid w:val="00525583"/>
    <w:rsid w:val="00531A8A"/>
    <w:rsid w:val="00532362"/>
    <w:rsid w:val="00534A77"/>
    <w:rsid w:val="005352A8"/>
    <w:rsid w:val="005360D6"/>
    <w:rsid w:val="00536BD2"/>
    <w:rsid w:val="00537D01"/>
    <w:rsid w:val="00540983"/>
    <w:rsid w:val="00542D87"/>
    <w:rsid w:val="005432D0"/>
    <w:rsid w:val="00543B9A"/>
    <w:rsid w:val="00544949"/>
    <w:rsid w:val="00546781"/>
    <w:rsid w:val="00547C4F"/>
    <w:rsid w:val="00551350"/>
    <w:rsid w:val="00554449"/>
    <w:rsid w:val="0056340C"/>
    <w:rsid w:val="00567991"/>
    <w:rsid w:val="005708EF"/>
    <w:rsid w:val="0057365A"/>
    <w:rsid w:val="00574622"/>
    <w:rsid w:val="005759B2"/>
    <w:rsid w:val="005778DD"/>
    <w:rsid w:val="00580AA3"/>
    <w:rsid w:val="00581031"/>
    <w:rsid w:val="0058293C"/>
    <w:rsid w:val="00586709"/>
    <w:rsid w:val="00586986"/>
    <w:rsid w:val="00590CD5"/>
    <w:rsid w:val="00591D74"/>
    <w:rsid w:val="00592384"/>
    <w:rsid w:val="00596407"/>
    <w:rsid w:val="005A5B60"/>
    <w:rsid w:val="005A62AB"/>
    <w:rsid w:val="005A63BD"/>
    <w:rsid w:val="005A7703"/>
    <w:rsid w:val="005A7724"/>
    <w:rsid w:val="005B0303"/>
    <w:rsid w:val="005B040C"/>
    <w:rsid w:val="005B4525"/>
    <w:rsid w:val="005C30AA"/>
    <w:rsid w:val="005C5E13"/>
    <w:rsid w:val="005C5FF8"/>
    <w:rsid w:val="005C6ABB"/>
    <w:rsid w:val="005C7A9F"/>
    <w:rsid w:val="005D0DEC"/>
    <w:rsid w:val="005D3813"/>
    <w:rsid w:val="005D513D"/>
    <w:rsid w:val="005D5D22"/>
    <w:rsid w:val="005E00DE"/>
    <w:rsid w:val="005F101B"/>
    <w:rsid w:val="005F6946"/>
    <w:rsid w:val="005F6D98"/>
    <w:rsid w:val="005F7EDD"/>
    <w:rsid w:val="006020D9"/>
    <w:rsid w:val="006033BF"/>
    <w:rsid w:val="00606E77"/>
    <w:rsid w:val="00607242"/>
    <w:rsid w:val="00610895"/>
    <w:rsid w:val="00610B77"/>
    <w:rsid w:val="006138B1"/>
    <w:rsid w:val="0061738E"/>
    <w:rsid w:val="00620B74"/>
    <w:rsid w:val="00621421"/>
    <w:rsid w:val="00623607"/>
    <w:rsid w:val="00635D23"/>
    <w:rsid w:val="006366B0"/>
    <w:rsid w:val="00636E36"/>
    <w:rsid w:val="0064247D"/>
    <w:rsid w:val="00645A99"/>
    <w:rsid w:val="006460CC"/>
    <w:rsid w:val="00647068"/>
    <w:rsid w:val="00654269"/>
    <w:rsid w:val="00654395"/>
    <w:rsid w:val="0065564E"/>
    <w:rsid w:val="00656420"/>
    <w:rsid w:val="006567AA"/>
    <w:rsid w:val="006601FC"/>
    <w:rsid w:val="0066357C"/>
    <w:rsid w:val="006638AE"/>
    <w:rsid w:val="00663AC1"/>
    <w:rsid w:val="00663D91"/>
    <w:rsid w:val="006656AF"/>
    <w:rsid w:val="0066615E"/>
    <w:rsid w:val="00666DDF"/>
    <w:rsid w:val="00667E2B"/>
    <w:rsid w:val="00670C77"/>
    <w:rsid w:val="00673ED7"/>
    <w:rsid w:val="006746F9"/>
    <w:rsid w:val="00677109"/>
    <w:rsid w:val="006824DE"/>
    <w:rsid w:val="00686A85"/>
    <w:rsid w:val="0069040A"/>
    <w:rsid w:val="00694445"/>
    <w:rsid w:val="006A20BA"/>
    <w:rsid w:val="006A3D31"/>
    <w:rsid w:val="006A58CC"/>
    <w:rsid w:val="006A6142"/>
    <w:rsid w:val="006B0FE7"/>
    <w:rsid w:val="006B14D3"/>
    <w:rsid w:val="006B797B"/>
    <w:rsid w:val="006C0CA8"/>
    <w:rsid w:val="006C1810"/>
    <w:rsid w:val="006C3052"/>
    <w:rsid w:val="006C42BA"/>
    <w:rsid w:val="006C476B"/>
    <w:rsid w:val="006C5327"/>
    <w:rsid w:val="006C6CC5"/>
    <w:rsid w:val="006D69FD"/>
    <w:rsid w:val="006D6E9C"/>
    <w:rsid w:val="006E3678"/>
    <w:rsid w:val="006E5C4A"/>
    <w:rsid w:val="006E645A"/>
    <w:rsid w:val="006F1775"/>
    <w:rsid w:val="006F3DE0"/>
    <w:rsid w:val="006F53BC"/>
    <w:rsid w:val="006F6292"/>
    <w:rsid w:val="0070024C"/>
    <w:rsid w:val="00700E24"/>
    <w:rsid w:val="0070396D"/>
    <w:rsid w:val="00706D37"/>
    <w:rsid w:val="00711CFF"/>
    <w:rsid w:val="00717640"/>
    <w:rsid w:val="00720E28"/>
    <w:rsid w:val="00726203"/>
    <w:rsid w:val="00730636"/>
    <w:rsid w:val="00736BE3"/>
    <w:rsid w:val="00737880"/>
    <w:rsid w:val="00737AC5"/>
    <w:rsid w:val="00741BAF"/>
    <w:rsid w:val="007450AB"/>
    <w:rsid w:val="00745FCB"/>
    <w:rsid w:val="00746EA4"/>
    <w:rsid w:val="00750213"/>
    <w:rsid w:val="00752DF7"/>
    <w:rsid w:val="00753518"/>
    <w:rsid w:val="007558CA"/>
    <w:rsid w:val="00756A7A"/>
    <w:rsid w:val="00764BFB"/>
    <w:rsid w:val="00771A8A"/>
    <w:rsid w:val="0077208C"/>
    <w:rsid w:val="00774463"/>
    <w:rsid w:val="00774A0C"/>
    <w:rsid w:val="007779F9"/>
    <w:rsid w:val="00777E39"/>
    <w:rsid w:val="00781788"/>
    <w:rsid w:val="00782A27"/>
    <w:rsid w:val="007831B1"/>
    <w:rsid w:val="00792538"/>
    <w:rsid w:val="007A35F8"/>
    <w:rsid w:val="007A3D05"/>
    <w:rsid w:val="007A40F3"/>
    <w:rsid w:val="007A4319"/>
    <w:rsid w:val="007A5090"/>
    <w:rsid w:val="007B1946"/>
    <w:rsid w:val="007B3A7D"/>
    <w:rsid w:val="007B4FDA"/>
    <w:rsid w:val="007B5E9A"/>
    <w:rsid w:val="007C04BB"/>
    <w:rsid w:val="007C524A"/>
    <w:rsid w:val="007C5CB8"/>
    <w:rsid w:val="007C7485"/>
    <w:rsid w:val="007D0639"/>
    <w:rsid w:val="007D0FC2"/>
    <w:rsid w:val="007E2A23"/>
    <w:rsid w:val="007E4FC4"/>
    <w:rsid w:val="007F58ED"/>
    <w:rsid w:val="007F7D83"/>
    <w:rsid w:val="00801852"/>
    <w:rsid w:val="008018D3"/>
    <w:rsid w:val="00804373"/>
    <w:rsid w:val="00805B00"/>
    <w:rsid w:val="0080630E"/>
    <w:rsid w:val="00810DD7"/>
    <w:rsid w:val="0081121C"/>
    <w:rsid w:val="00816DA6"/>
    <w:rsid w:val="00817957"/>
    <w:rsid w:val="00823C99"/>
    <w:rsid w:val="00824185"/>
    <w:rsid w:val="008244EB"/>
    <w:rsid w:val="00825B5F"/>
    <w:rsid w:val="008262EC"/>
    <w:rsid w:val="0082680D"/>
    <w:rsid w:val="00827446"/>
    <w:rsid w:val="00827633"/>
    <w:rsid w:val="008305CD"/>
    <w:rsid w:val="008321F0"/>
    <w:rsid w:val="008326AE"/>
    <w:rsid w:val="00832E66"/>
    <w:rsid w:val="008350E7"/>
    <w:rsid w:val="00840193"/>
    <w:rsid w:val="00841A46"/>
    <w:rsid w:val="00841C90"/>
    <w:rsid w:val="008425E8"/>
    <w:rsid w:val="008434F0"/>
    <w:rsid w:val="00844E25"/>
    <w:rsid w:val="008455A8"/>
    <w:rsid w:val="00846EC4"/>
    <w:rsid w:val="0085009E"/>
    <w:rsid w:val="00851C92"/>
    <w:rsid w:val="008550D3"/>
    <w:rsid w:val="00855650"/>
    <w:rsid w:val="0085574F"/>
    <w:rsid w:val="00856000"/>
    <w:rsid w:val="00856774"/>
    <w:rsid w:val="008627CF"/>
    <w:rsid w:val="00862BA8"/>
    <w:rsid w:val="0086488F"/>
    <w:rsid w:val="00865D1B"/>
    <w:rsid w:val="00866F84"/>
    <w:rsid w:val="008732FA"/>
    <w:rsid w:val="00873556"/>
    <w:rsid w:val="0087639A"/>
    <w:rsid w:val="00877F6E"/>
    <w:rsid w:val="00880512"/>
    <w:rsid w:val="008809A8"/>
    <w:rsid w:val="00884FE3"/>
    <w:rsid w:val="00885034"/>
    <w:rsid w:val="0088552F"/>
    <w:rsid w:val="008868F1"/>
    <w:rsid w:val="00887604"/>
    <w:rsid w:val="00887EF8"/>
    <w:rsid w:val="00891ED7"/>
    <w:rsid w:val="00892BD3"/>
    <w:rsid w:val="008944F0"/>
    <w:rsid w:val="008962AB"/>
    <w:rsid w:val="008A10CE"/>
    <w:rsid w:val="008A1D4E"/>
    <w:rsid w:val="008A34DA"/>
    <w:rsid w:val="008A4340"/>
    <w:rsid w:val="008B19F5"/>
    <w:rsid w:val="008B20F9"/>
    <w:rsid w:val="008B4730"/>
    <w:rsid w:val="008B7676"/>
    <w:rsid w:val="008C0300"/>
    <w:rsid w:val="008C0FB0"/>
    <w:rsid w:val="008C1281"/>
    <w:rsid w:val="008C1FEE"/>
    <w:rsid w:val="008D3BAD"/>
    <w:rsid w:val="008D3EF3"/>
    <w:rsid w:val="008D5EED"/>
    <w:rsid w:val="008D6CFA"/>
    <w:rsid w:val="008D71DF"/>
    <w:rsid w:val="008E04C8"/>
    <w:rsid w:val="008E1689"/>
    <w:rsid w:val="008E20B3"/>
    <w:rsid w:val="008E3335"/>
    <w:rsid w:val="008E526E"/>
    <w:rsid w:val="008F1CA9"/>
    <w:rsid w:val="008F6CB3"/>
    <w:rsid w:val="00901001"/>
    <w:rsid w:val="009011B4"/>
    <w:rsid w:val="00901E28"/>
    <w:rsid w:val="00902D41"/>
    <w:rsid w:val="00903966"/>
    <w:rsid w:val="009056A6"/>
    <w:rsid w:val="00905719"/>
    <w:rsid w:val="00905D9E"/>
    <w:rsid w:val="00905E28"/>
    <w:rsid w:val="00907D11"/>
    <w:rsid w:val="0091189E"/>
    <w:rsid w:val="00912B93"/>
    <w:rsid w:val="00915897"/>
    <w:rsid w:val="0092082E"/>
    <w:rsid w:val="0092109E"/>
    <w:rsid w:val="00921EA8"/>
    <w:rsid w:val="00921EED"/>
    <w:rsid w:val="00923621"/>
    <w:rsid w:val="009257E2"/>
    <w:rsid w:val="00926379"/>
    <w:rsid w:val="00926773"/>
    <w:rsid w:val="009278C7"/>
    <w:rsid w:val="00930201"/>
    <w:rsid w:val="0093166D"/>
    <w:rsid w:val="009330F6"/>
    <w:rsid w:val="0093401D"/>
    <w:rsid w:val="00934055"/>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64E5B"/>
    <w:rsid w:val="00970A50"/>
    <w:rsid w:val="00972981"/>
    <w:rsid w:val="0097480E"/>
    <w:rsid w:val="00974C35"/>
    <w:rsid w:val="0097788C"/>
    <w:rsid w:val="00983244"/>
    <w:rsid w:val="00983B25"/>
    <w:rsid w:val="009874EF"/>
    <w:rsid w:val="00987C5D"/>
    <w:rsid w:val="00992D66"/>
    <w:rsid w:val="00995D08"/>
    <w:rsid w:val="00996BB8"/>
    <w:rsid w:val="009A113B"/>
    <w:rsid w:val="009A466A"/>
    <w:rsid w:val="009A4D15"/>
    <w:rsid w:val="009B109B"/>
    <w:rsid w:val="009C226F"/>
    <w:rsid w:val="009C28D0"/>
    <w:rsid w:val="009C3F34"/>
    <w:rsid w:val="009C49BE"/>
    <w:rsid w:val="009C4CEA"/>
    <w:rsid w:val="009D1937"/>
    <w:rsid w:val="009D2C60"/>
    <w:rsid w:val="009D4853"/>
    <w:rsid w:val="009D6480"/>
    <w:rsid w:val="009D6DB0"/>
    <w:rsid w:val="009D70EB"/>
    <w:rsid w:val="009E15C8"/>
    <w:rsid w:val="009E38B0"/>
    <w:rsid w:val="009E4A1D"/>
    <w:rsid w:val="009E7BA3"/>
    <w:rsid w:val="009F193D"/>
    <w:rsid w:val="009F4C2E"/>
    <w:rsid w:val="009F5157"/>
    <w:rsid w:val="009F53D9"/>
    <w:rsid w:val="00A00CF7"/>
    <w:rsid w:val="00A04211"/>
    <w:rsid w:val="00A075D8"/>
    <w:rsid w:val="00A1110E"/>
    <w:rsid w:val="00A11291"/>
    <w:rsid w:val="00A1308E"/>
    <w:rsid w:val="00A15B45"/>
    <w:rsid w:val="00A16D33"/>
    <w:rsid w:val="00A17867"/>
    <w:rsid w:val="00A17E56"/>
    <w:rsid w:val="00A20CE2"/>
    <w:rsid w:val="00A2138D"/>
    <w:rsid w:val="00A26612"/>
    <w:rsid w:val="00A30C22"/>
    <w:rsid w:val="00A32188"/>
    <w:rsid w:val="00A35A96"/>
    <w:rsid w:val="00A37945"/>
    <w:rsid w:val="00A43B6B"/>
    <w:rsid w:val="00A459C8"/>
    <w:rsid w:val="00A51F8F"/>
    <w:rsid w:val="00A541D4"/>
    <w:rsid w:val="00A54B26"/>
    <w:rsid w:val="00A56A5A"/>
    <w:rsid w:val="00A56AD0"/>
    <w:rsid w:val="00A57526"/>
    <w:rsid w:val="00A608F2"/>
    <w:rsid w:val="00A64BEF"/>
    <w:rsid w:val="00A6607D"/>
    <w:rsid w:val="00A66C47"/>
    <w:rsid w:val="00A66E8A"/>
    <w:rsid w:val="00A67384"/>
    <w:rsid w:val="00A67AB0"/>
    <w:rsid w:val="00A72F43"/>
    <w:rsid w:val="00A763ED"/>
    <w:rsid w:val="00A77216"/>
    <w:rsid w:val="00A77988"/>
    <w:rsid w:val="00A81F11"/>
    <w:rsid w:val="00A81F93"/>
    <w:rsid w:val="00A8277A"/>
    <w:rsid w:val="00A8554F"/>
    <w:rsid w:val="00A8559C"/>
    <w:rsid w:val="00A85D56"/>
    <w:rsid w:val="00A86930"/>
    <w:rsid w:val="00A91D20"/>
    <w:rsid w:val="00AA6357"/>
    <w:rsid w:val="00AA6BEA"/>
    <w:rsid w:val="00AA6E90"/>
    <w:rsid w:val="00AB23FA"/>
    <w:rsid w:val="00AB5547"/>
    <w:rsid w:val="00AB5DAB"/>
    <w:rsid w:val="00AB6E61"/>
    <w:rsid w:val="00AC3D4D"/>
    <w:rsid w:val="00AD213C"/>
    <w:rsid w:val="00AD6089"/>
    <w:rsid w:val="00AE0713"/>
    <w:rsid w:val="00AE4AED"/>
    <w:rsid w:val="00AF0A80"/>
    <w:rsid w:val="00AF7A25"/>
    <w:rsid w:val="00B027F3"/>
    <w:rsid w:val="00B04037"/>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4316"/>
    <w:rsid w:val="00B27CBD"/>
    <w:rsid w:val="00B30DB6"/>
    <w:rsid w:val="00B31AD1"/>
    <w:rsid w:val="00B33666"/>
    <w:rsid w:val="00B34D51"/>
    <w:rsid w:val="00B43A39"/>
    <w:rsid w:val="00B441CA"/>
    <w:rsid w:val="00B44B82"/>
    <w:rsid w:val="00B478B4"/>
    <w:rsid w:val="00B47981"/>
    <w:rsid w:val="00B500B4"/>
    <w:rsid w:val="00B50E7F"/>
    <w:rsid w:val="00B565D7"/>
    <w:rsid w:val="00B612A0"/>
    <w:rsid w:val="00B64B8C"/>
    <w:rsid w:val="00B675A5"/>
    <w:rsid w:val="00B763C8"/>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5588"/>
    <w:rsid w:val="00BB092B"/>
    <w:rsid w:val="00BB3281"/>
    <w:rsid w:val="00BB773C"/>
    <w:rsid w:val="00BB7AC2"/>
    <w:rsid w:val="00BC2255"/>
    <w:rsid w:val="00BC601F"/>
    <w:rsid w:val="00BD0579"/>
    <w:rsid w:val="00BD0784"/>
    <w:rsid w:val="00BD1B11"/>
    <w:rsid w:val="00BD2022"/>
    <w:rsid w:val="00BD63CE"/>
    <w:rsid w:val="00BE270F"/>
    <w:rsid w:val="00BE3A9D"/>
    <w:rsid w:val="00BE435B"/>
    <w:rsid w:val="00BE7202"/>
    <w:rsid w:val="00BE7559"/>
    <w:rsid w:val="00BF4BF8"/>
    <w:rsid w:val="00BF7744"/>
    <w:rsid w:val="00C0165A"/>
    <w:rsid w:val="00C03C25"/>
    <w:rsid w:val="00C10BF9"/>
    <w:rsid w:val="00C11575"/>
    <w:rsid w:val="00C115DD"/>
    <w:rsid w:val="00C117BC"/>
    <w:rsid w:val="00C21CEB"/>
    <w:rsid w:val="00C22E81"/>
    <w:rsid w:val="00C23BA5"/>
    <w:rsid w:val="00C23CA1"/>
    <w:rsid w:val="00C26EA3"/>
    <w:rsid w:val="00C2756A"/>
    <w:rsid w:val="00C30D95"/>
    <w:rsid w:val="00C3218F"/>
    <w:rsid w:val="00C34CA9"/>
    <w:rsid w:val="00C37108"/>
    <w:rsid w:val="00C402D9"/>
    <w:rsid w:val="00C4255E"/>
    <w:rsid w:val="00C4287E"/>
    <w:rsid w:val="00C4349F"/>
    <w:rsid w:val="00C438F8"/>
    <w:rsid w:val="00C44F77"/>
    <w:rsid w:val="00C46ECA"/>
    <w:rsid w:val="00C55171"/>
    <w:rsid w:val="00C5789B"/>
    <w:rsid w:val="00C60B0F"/>
    <w:rsid w:val="00C6395A"/>
    <w:rsid w:val="00C6396E"/>
    <w:rsid w:val="00C63C77"/>
    <w:rsid w:val="00C65483"/>
    <w:rsid w:val="00C6577B"/>
    <w:rsid w:val="00C679C0"/>
    <w:rsid w:val="00C74A03"/>
    <w:rsid w:val="00C81CC6"/>
    <w:rsid w:val="00C8251C"/>
    <w:rsid w:val="00C840BE"/>
    <w:rsid w:val="00C85039"/>
    <w:rsid w:val="00C85122"/>
    <w:rsid w:val="00C85583"/>
    <w:rsid w:val="00C91A81"/>
    <w:rsid w:val="00C95297"/>
    <w:rsid w:val="00C97A85"/>
    <w:rsid w:val="00CA0979"/>
    <w:rsid w:val="00CA23CD"/>
    <w:rsid w:val="00CA255F"/>
    <w:rsid w:val="00CA4E66"/>
    <w:rsid w:val="00CA500A"/>
    <w:rsid w:val="00CA5268"/>
    <w:rsid w:val="00CA561F"/>
    <w:rsid w:val="00CC2C8E"/>
    <w:rsid w:val="00CC3BE7"/>
    <w:rsid w:val="00CC4C07"/>
    <w:rsid w:val="00CC6587"/>
    <w:rsid w:val="00CC75C5"/>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3F20"/>
    <w:rsid w:val="00D042E7"/>
    <w:rsid w:val="00D12C1C"/>
    <w:rsid w:val="00D216F2"/>
    <w:rsid w:val="00D22815"/>
    <w:rsid w:val="00D30B27"/>
    <w:rsid w:val="00D344A6"/>
    <w:rsid w:val="00D37A8F"/>
    <w:rsid w:val="00D41996"/>
    <w:rsid w:val="00D45ADA"/>
    <w:rsid w:val="00D47000"/>
    <w:rsid w:val="00D51647"/>
    <w:rsid w:val="00D54F14"/>
    <w:rsid w:val="00D55EC4"/>
    <w:rsid w:val="00D5608F"/>
    <w:rsid w:val="00D570E8"/>
    <w:rsid w:val="00D6003D"/>
    <w:rsid w:val="00D62ED5"/>
    <w:rsid w:val="00D65787"/>
    <w:rsid w:val="00D665DD"/>
    <w:rsid w:val="00D66B56"/>
    <w:rsid w:val="00D72F84"/>
    <w:rsid w:val="00D741E2"/>
    <w:rsid w:val="00D74B8A"/>
    <w:rsid w:val="00D828E6"/>
    <w:rsid w:val="00D82B1A"/>
    <w:rsid w:val="00D8570C"/>
    <w:rsid w:val="00D91C52"/>
    <w:rsid w:val="00D93540"/>
    <w:rsid w:val="00D935BB"/>
    <w:rsid w:val="00D93B1E"/>
    <w:rsid w:val="00D96D49"/>
    <w:rsid w:val="00DA283F"/>
    <w:rsid w:val="00DB1576"/>
    <w:rsid w:val="00DB4DDC"/>
    <w:rsid w:val="00DB5576"/>
    <w:rsid w:val="00DB5FBB"/>
    <w:rsid w:val="00DB61B5"/>
    <w:rsid w:val="00DB767C"/>
    <w:rsid w:val="00DC07F5"/>
    <w:rsid w:val="00DD0859"/>
    <w:rsid w:val="00DD1547"/>
    <w:rsid w:val="00DE37B6"/>
    <w:rsid w:val="00DF1B91"/>
    <w:rsid w:val="00DF44CF"/>
    <w:rsid w:val="00DF5EF8"/>
    <w:rsid w:val="00DF5F3D"/>
    <w:rsid w:val="00DF6646"/>
    <w:rsid w:val="00DF69C9"/>
    <w:rsid w:val="00E0070A"/>
    <w:rsid w:val="00E00DD9"/>
    <w:rsid w:val="00E03114"/>
    <w:rsid w:val="00E03885"/>
    <w:rsid w:val="00E03E9F"/>
    <w:rsid w:val="00E0519C"/>
    <w:rsid w:val="00E072DB"/>
    <w:rsid w:val="00E10E4A"/>
    <w:rsid w:val="00E150D6"/>
    <w:rsid w:val="00E16842"/>
    <w:rsid w:val="00E207A4"/>
    <w:rsid w:val="00E21FF0"/>
    <w:rsid w:val="00E243B8"/>
    <w:rsid w:val="00E25A90"/>
    <w:rsid w:val="00E25B15"/>
    <w:rsid w:val="00E2613A"/>
    <w:rsid w:val="00E27FD1"/>
    <w:rsid w:val="00E3062F"/>
    <w:rsid w:val="00E3079C"/>
    <w:rsid w:val="00E310AF"/>
    <w:rsid w:val="00E340DE"/>
    <w:rsid w:val="00E365A6"/>
    <w:rsid w:val="00E36932"/>
    <w:rsid w:val="00E36BC0"/>
    <w:rsid w:val="00E41439"/>
    <w:rsid w:val="00E41D8A"/>
    <w:rsid w:val="00E4239C"/>
    <w:rsid w:val="00E426D5"/>
    <w:rsid w:val="00E437A4"/>
    <w:rsid w:val="00E465F4"/>
    <w:rsid w:val="00E47109"/>
    <w:rsid w:val="00E51469"/>
    <w:rsid w:val="00E51559"/>
    <w:rsid w:val="00E531D4"/>
    <w:rsid w:val="00E54A5D"/>
    <w:rsid w:val="00E6198A"/>
    <w:rsid w:val="00E61C1B"/>
    <w:rsid w:val="00E63985"/>
    <w:rsid w:val="00E6471C"/>
    <w:rsid w:val="00E67C4D"/>
    <w:rsid w:val="00E716E6"/>
    <w:rsid w:val="00E7419A"/>
    <w:rsid w:val="00E8114D"/>
    <w:rsid w:val="00E84312"/>
    <w:rsid w:val="00E8478B"/>
    <w:rsid w:val="00E854CA"/>
    <w:rsid w:val="00E86394"/>
    <w:rsid w:val="00E95EAA"/>
    <w:rsid w:val="00E968B4"/>
    <w:rsid w:val="00E9715A"/>
    <w:rsid w:val="00E974B1"/>
    <w:rsid w:val="00EA0E9D"/>
    <w:rsid w:val="00EA1464"/>
    <w:rsid w:val="00EA2B91"/>
    <w:rsid w:val="00EA7559"/>
    <w:rsid w:val="00EB0707"/>
    <w:rsid w:val="00EB2AD2"/>
    <w:rsid w:val="00EB2AE3"/>
    <w:rsid w:val="00EB4488"/>
    <w:rsid w:val="00EB5492"/>
    <w:rsid w:val="00EB7A35"/>
    <w:rsid w:val="00EC067F"/>
    <w:rsid w:val="00EC0C21"/>
    <w:rsid w:val="00EC4429"/>
    <w:rsid w:val="00EC4F83"/>
    <w:rsid w:val="00ED1176"/>
    <w:rsid w:val="00ED28D1"/>
    <w:rsid w:val="00ED2A86"/>
    <w:rsid w:val="00ED612B"/>
    <w:rsid w:val="00ED6AB9"/>
    <w:rsid w:val="00ED6EEE"/>
    <w:rsid w:val="00EE2A82"/>
    <w:rsid w:val="00EE45B7"/>
    <w:rsid w:val="00EE7B47"/>
    <w:rsid w:val="00EF16BF"/>
    <w:rsid w:val="00EF2788"/>
    <w:rsid w:val="00EF3084"/>
    <w:rsid w:val="00EF31A5"/>
    <w:rsid w:val="00EF62E5"/>
    <w:rsid w:val="00EF7D43"/>
    <w:rsid w:val="00F0026A"/>
    <w:rsid w:val="00F012BF"/>
    <w:rsid w:val="00F01648"/>
    <w:rsid w:val="00F02BE1"/>
    <w:rsid w:val="00F03D4F"/>
    <w:rsid w:val="00F04872"/>
    <w:rsid w:val="00F10C89"/>
    <w:rsid w:val="00F1441F"/>
    <w:rsid w:val="00F158A0"/>
    <w:rsid w:val="00F15D58"/>
    <w:rsid w:val="00F162C2"/>
    <w:rsid w:val="00F164BB"/>
    <w:rsid w:val="00F22FB6"/>
    <w:rsid w:val="00F2407F"/>
    <w:rsid w:val="00F240A4"/>
    <w:rsid w:val="00F32096"/>
    <w:rsid w:val="00F3329B"/>
    <w:rsid w:val="00F411C7"/>
    <w:rsid w:val="00F447BB"/>
    <w:rsid w:val="00F45DE2"/>
    <w:rsid w:val="00F51FB9"/>
    <w:rsid w:val="00F54C7E"/>
    <w:rsid w:val="00F55890"/>
    <w:rsid w:val="00F57C0A"/>
    <w:rsid w:val="00F60C25"/>
    <w:rsid w:val="00F61EFC"/>
    <w:rsid w:val="00F62F42"/>
    <w:rsid w:val="00F63464"/>
    <w:rsid w:val="00F64B5F"/>
    <w:rsid w:val="00F673DC"/>
    <w:rsid w:val="00F71181"/>
    <w:rsid w:val="00F75681"/>
    <w:rsid w:val="00F76412"/>
    <w:rsid w:val="00F7786C"/>
    <w:rsid w:val="00F808E0"/>
    <w:rsid w:val="00F819D0"/>
    <w:rsid w:val="00F82500"/>
    <w:rsid w:val="00F83D0E"/>
    <w:rsid w:val="00F8525D"/>
    <w:rsid w:val="00F85D15"/>
    <w:rsid w:val="00F85D95"/>
    <w:rsid w:val="00F861D7"/>
    <w:rsid w:val="00F87139"/>
    <w:rsid w:val="00F912C5"/>
    <w:rsid w:val="00F95783"/>
    <w:rsid w:val="00FA0EE5"/>
    <w:rsid w:val="00FA1A8E"/>
    <w:rsid w:val="00FA1C34"/>
    <w:rsid w:val="00FA38E3"/>
    <w:rsid w:val="00FA3BCC"/>
    <w:rsid w:val="00FB0DBD"/>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vaccines/vpd/hpv/hcp/recommendation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2020-08-13T01:08:00Z</dcterms:created>
  <dcterms:modified xsi:type="dcterms:W3CDTF">2020-08-13T01:08:00Z</dcterms:modified>
</cp:coreProperties>
</file>