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761" w:rsidRPr="00C044F8" w:rsidRDefault="00935761" w:rsidP="007A7206">
      <w:pPr>
        <w:spacing w:before="360" w:after="360" w:line="480" w:lineRule="auto"/>
        <w:jc w:val="both"/>
        <w:rPr>
          <w:rFonts w:ascii="Times New Roman" w:hAnsi="Times New Roman" w:cs="Times New Roman"/>
          <w:sz w:val="24"/>
          <w:szCs w:val="24"/>
        </w:rPr>
      </w:pPr>
    </w:p>
    <w:p w:rsidR="00935761" w:rsidRPr="00C044F8" w:rsidRDefault="00935761" w:rsidP="007A7206">
      <w:pPr>
        <w:spacing w:before="360" w:after="360" w:line="480" w:lineRule="auto"/>
        <w:jc w:val="both"/>
        <w:rPr>
          <w:rFonts w:ascii="Times New Roman" w:hAnsi="Times New Roman" w:cs="Times New Roman"/>
          <w:sz w:val="24"/>
          <w:szCs w:val="24"/>
        </w:rPr>
      </w:pPr>
    </w:p>
    <w:p w:rsidR="00935761" w:rsidRPr="00C044F8" w:rsidRDefault="00935761" w:rsidP="007A7206">
      <w:pPr>
        <w:spacing w:before="360" w:after="360" w:line="480" w:lineRule="auto"/>
        <w:jc w:val="both"/>
        <w:rPr>
          <w:rFonts w:ascii="Times New Roman" w:hAnsi="Times New Roman" w:cs="Times New Roman"/>
          <w:sz w:val="24"/>
          <w:szCs w:val="24"/>
        </w:rPr>
      </w:pPr>
    </w:p>
    <w:p w:rsidR="00935761" w:rsidRPr="00C044F8" w:rsidRDefault="00935761" w:rsidP="007A7206">
      <w:pPr>
        <w:spacing w:before="360" w:after="360" w:line="480" w:lineRule="auto"/>
        <w:jc w:val="both"/>
        <w:rPr>
          <w:rFonts w:ascii="Times New Roman" w:hAnsi="Times New Roman" w:cs="Times New Roman"/>
          <w:sz w:val="24"/>
          <w:szCs w:val="24"/>
        </w:rPr>
      </w:pPr>
    </w:p>
    <w:p w:rsidR="00935761" w:rsidRPr="00C044F8" w:rsidRDefault="00935761" w:rsidP="007A7206">
      <w:pPr>
        <w:spacing w:before="360" w:after="360" w:line="480" w:lineRule="auto"/>
        <w:jc w:val="both"/>
        <w:rPr>
          <w:rFonts w:ascii="Times New Roman" w:hAnsi="Times New Roman" w:cs="Times New Roman"/>
          <w:sz w:val="24"/>
          <w:szCs w:val="24"/>
        </w:rPr>
      </w:pPr>
    </w:p>
    <w:p w:rsidR="00935761" w:rsidRPr="00C044F8" w:rsidRDefault="00935761" w:rsidP="007A7206">
      <w:pPr>
        <w:spacing w:before="360" w:after="360" w:line="480" w:lineRule="auto"/>
        <w:jc w:val="both"/>
        <w:rPr>
          <w:rFonts w:ascii="Times New Roman" w:hAnsi="Times New Roman" w:cs="Times New Roman"/>
          <w:sz w:val="24"/>
          <w:szCs w:val="24"/>
        </w:rPr>
      </w:pPr>
    </w:p>
    <w:p w:rsidR="00935761" w:rsidRPr="00C044F8" w:rsidRDefault="00935761" w:rsidP="007A7206">
      <w:pPr>
        <w:spacing w:before="360" w:after="360" w:line="480" w:lineRule="auto"/>
        <w:jc w:val="center"/>
        <w:rPr>
          <w:rFonts w:ascii="Times New Roman" w:hAnsi="Times New Roman" w:cs="Times New Roman"/>
          <w:sz w:val="24"/>
          <w:szCs w:val="24"/>
        </w:rPr>
      </w:pPr>
      <w:r w:rsidRPr="00C044F8">
        <w:rPr>
          <w:rFonts w:ascii="Times New Roman" w:hAnsi="Times New Roman" w:cs="Times New Roman"/>
          <w:sz w:val="24"/>
          <w:szCs w:val="24"/>
        </w:rPr>
        <w:t>PharmaCorp Financial and Revenue Analysis</w:t>
      </w:r>
    </w:p>
    <w:p w:rsidR="009E01B6" w:rsidRPr="00C044F8" w:rsidRDefault="00935761" w:rsidP="007A7206">
      <w:pPr>
        <w:spacing w:before="360" w:after="360" w:line="480" w:lineRule="auto"/>
        <w:jc w:val="center"/>
        <w:rPr>
          <w:rFonts w:ascii="Times New Roman" w:hAnsi="Times New Roman" w:cs="Times New Roman"/>
          <w:sz w:val="24"/>
          <w:szCs w:val="24"/>
        </w:rPr>
      </w:pPr>
      <w:r w:rsidRPr="00C044F8">
        <w:rPr>
          <w:rFonts w:ascii="Times New Roman" w:hAnsi="Times New Roman" w:cs="Times New Roman"/>
          <w:sz w:val="24"/>
          <w:szCs w:val="24"/>
        </w:rPr>
        <w:t>Student Name</w:t>
      </w:r>
    </w:p>
    <w:p w:rsidR="00935761" w:rsidRPr="00C044F8" w:rsidRDefault="00935761" w:rsidP="007A7206">
      <w:pPr>
        <w:spacing w:before="360" w:after="360" w:line="480" w:lineRule="auto"/>
        <w:jc w:val="center"/>
        <w:rPr>
          <w:rFonts w:ascii="Times New Roman" w:hAnsi="Times New Roman" w:cs="Times New Roman"/>
          <w:sz w:val="24"/>
          <w:szCs w:val="24"/>
        </w:rPr>
      </w:pPr>
      <w:r w:rsidRPr="00C044F8">
        <w:rPr>
          <w:rFonts w:ascii="Times New Roman" w:hAnsi="Times New Roman" w:cs="Times New Roman"/>
          <w:sz w:val="24"/>
          <w:szCs w:val="24"/>
        </w:rPr>
        <w:t>Institutional Affiliations</w:t>
      </w:r>
    </w:p>
    <w:p w:rsidR="007A7206" w:rsidRDefault="007A7206">
      <w:pPr>
        <w:rPr>
          <w:rFonts w:ascii="Times New Roman" w:hAnsi="Times New Roman" w:cs="Times New Roman"/>
          <w:b/>
          <w:sz w:val="24"/>
          <w:szCs w:val="24"/>
        </w:rPr>
      </w:pPr>
      <w:r>
        <w:rPr>
          <w:rFonts w:ascii="Times New Roman" w:hAnsi="Times New Roman" w:cs="Times New Roman"/>
          <w:b/>
          <w:sz w:val="24"/>
          <w:szCs w:val="24"/>
        </w:rPr>
        <w:br w:type="page"/>
      </w:r>
    </w:p>
    <w:p w:rsidR="00891024" w:rsidRPr="00C044F8" w:rsidRDefault="00891024" w:rsidP="007A7206">
      <w:pPr>
        <w:spacing w:before="360" w:after="360" w:line="480" w:lineRule="auto"/>
        <w:jc w:val="center"/>
        <w:rPr>
          <w:rFonts w:ascii="Times New Roman" w:hAnsi="Times New Roman" w:cs="Times New Roman"/>
          <w:b/>
          <w:sz w:val="24"/>
          <w:szCs w:val="24"/>
        </w:rPr>
      </w:pPr>
      <w:r w:rsidRPr="00C044F8">
        <w:rPr>
          <w:rFonts w:ascii="Times New Roman" w:hAnsi="Times New Roman" w:cs="Times New Roman"/>
          <w:b/>
          <w:sz w:val="24"/>
          <w:szCs w:val="24"/>
        </w:rPr>
        <w:lastRenderedPageBreak/>
        <w:t>Part 1</w:t>
      </w:r>
      <w:r w:rsidR="0016656F" w:rsidRPr="00C044F8">
        <w:rPr>
          <w:rFonts w:ascii="Times New Roman" w:hAnsi="Times New Roman" w:cs="Times New Roman"/>
          <w:b/>
          <w:sz w:val="24"/>
          <w:szCs w:val="24"/>
        </w:rPr>
        <w:t>: Plann</w:t>
      </w:r>
      <w:bookmarkStart w:id="0" w:name="_GoBack"/>
      <w:bookmarkEnd w:id="0"/>
      <w:r w:rsidR="0016656F" w:rsidRPr="00C044F8">
        <w:rPr>
          <w:rFonts w:ascii="Times New Roman" w:hAnsi="Times New Roman" w:cs="Times New Roman"/>
          <w:b/>
          <w:sz w:val="24"/>
          <w:szCs w:val="24"/>
        </w:rPr>
        <w:t>ing Analytical Process</w:t>
      </w:r>
    </w:p>
    <w:p w:rsidR="00891024" w:rsidRPr="00F430D0" w:rsidRDefault="00891024" w:rsidP="007A7206">
      <w:pPr>
        <w:spacing w:before="360" w:after="360" w:line="480" w:lineRule="auto"/>
        <w:jc w:val="both"/>
        <w:rPr>
          <w:rFonts w:ascii="Times New Roman" w:hAnsi="Times New Roman" w:cs="Times New Roman"/>
          <w:b/>
          <w:sz w:val="24"/>
          <w:szCs w:val="24"/>
        </w:rPr>
      </w:pPr>
      <w:r w:rsidRPr="00F430D0">
        <w:rPr>
          <w:rFonts w:ascii="Times New Roman" w:hAnsi="Times New Roman" w:cs="Times New Roman"/>
          <w:b/>
          <w:sz w:val="24"/>
          <w:szCs w:val="24"/>
        </w:rPr>
        <w:t xml:space="preserve">Step 1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There are many different factors to consider when determining the revenue cycle. According to Jewell (2020), the revenue cycle is a process of receiving a payment from a customer, making a transaction or credit sale, collecting cash, billing a customer, and many more others. To effectively, identify the key foundations of a revenue cycle, it is important to consider a company's financial performance and health. Revenue cycle management will consider the identification of key analytic procedures to determine the effectiveness of a company’s performance in the market and industry. In this analysis, the use of financial ratios will be used in the determination of the company’s financial performance. In 2015, the expected financial ratio of PharmaCorp shows a gross margin ratio of 0.81. The ratio shows good value in terms of profitability and using its assets. The turnover ratio was 4.72. This can be used to determine the company’s financial efficiency in using its liabilities and asset to rank in profits or returns. The receivables as a percentage of current assets ratio were at 0.20% and receivables as a percentage of total assets were at 0.067%. These trends show the different financial efficiency of the company in the financial year of 2015. The revenue cycle management of the company can be determined by its allowance ratio of 0.03%. </w:t>
      </w:r>
    </w:p>
    <w:p w:rsidR="005F6C45" w:rsidRPr="00F430D0" w:rsidRDefault="005F6C45" w:rsidP="007A7206">
      <w:pPr>
        <w:spacing w:before="360" w:after="360" w:line="480" w:lineRule="auto"/>
        <w:jc w:val="both"/>
        <w:rPr>
          <w:rFonts w:ascii="Times New Roman" w:hAnsi="Times New Roman" w:cs="Times New Roman"/>
          <w:b/>
          <w:sz w:val="24"/>
          <w:szCs w:val="24"/>
        </w:rPr>
      </w:pPr>
      <w:r w:rsidRPr="00F430D0">
        <w:rPr>
          <w:rFonts w:ascii="Times New Roman" w:hAnsi="Times New Roman" w:cs="Times New Roman"/>
          <w:b/>
          <w:sz w:val="24"/>
          <w:szCs w:val="24"/>
        </w:rPr>
        <w:t>Step 2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 xml:space="preserve">Based on Boynton, &amp; Johnson (2006), auditing of the revenue cycle considers data from directly linked accounts. For instance, in this case, auditing needs to consider the evidence of financial data and its integrity. The integrity of this financial data has to deal with the </w:t>
      </w:r>
      <w:r w:rsidRPr="00C044F8">
        <w:rPr>
          <w:rFonts w:ascii="Times New Roman" w:hAnsi="Times New Roman" w:cs="Times New Roman"/>
          <w:sz w:val="24"/>
          <w:szCs w:val="24"/>
        </w:rPr>
        <w:lastRenderedPageBreak/>
        <w:t>completeness and accuracy of the financial information. As indicated by the financial statements (balance sheet, cash statement, and statement of cash flow), this evidence will help the audit team to reduce biases and misstatement. According to Boynton, &amp; Johnson (2006), it is important to have control features and protocols when dealing with auditing of financial data. The directly linked accounts, such as the account receivables and payable will be used to determine the credibility of the financial data provided. Therefore, the auditing team can use different auditing procedures to determine a credible system of auditing. These can help in the reduction of the inherent risks at the financial statement level and the assertion and control levels. To meet the expectations, the data used by the auditing team has to be reliable and should meet financial credibility and class of transactions. </w:t>
      </w:r>
    </w:p>
    <w:p w:rsidR="005F6C45" w:rsidRPr="00F430D0" w:rsidRDefault="005F6C45" w:rsidP="007A7206">
      <w:pPr>
        <w:spacing w:before="360" w:after="360" w:line="480" w:lineRule="auto"/>
        <w:jc w:val="both"/>
        <w:rPr>
          <w:rFonts w:ascii="Times New Roman" w:hAnsi="Times New Roman" w:cs="Times New Roman"/>
          <w:b/>
          <w:sz w:val="24"/>
          <w:szCs w:val="24"/>
        </w:rPr>
      </w:pPr>
      <w:r w:rsidRPr="00F430D0">
        <w:rPr>
          <w:rFonts w:ascii="Times New Roman" w:hAnsi="Times New Roman" w:cs="Times New Roman"/>
          <w:b/>
          <w:sz w:val="24"/>
          <w:szCs w:val="24"/>
        </w:rPr>
        <w:t>Step 3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 xml:space="preserve"> According to William Jr, Glover, &amp; Prawitt (2016), the auditing procedures need to consider the auditing techniques used and sampling of the financial data. For instance, in 2015, PharmaCorp had a gross margin ratio of 0.81%. The ratio shows good value in terms of profitability and using its assets. The turnover ratio was 4.72. From the historical data of the company, in 2014, the gross margin ratio with audited data was at 0.78% and the turnover ratio was at 4.78%. It is important to note the changes are relatively small. Since the 2015 data is not audited, based on the sampling done, the competitors in the industry are Novartell and AstraZoro. In the same years, Novartell had a gross margin ratio of 0.66% in 2015 and 0.67% in 2014. The turnover ratio was 5.65% in the unaudited data of 2015 and in 2014 it was at 5.62%. Similarly, another company in the sector is AstraZoro, which has an expected gross margin of 0.8% in 2015 and its gross margin ratio of 2014 was 0.82%. The expected turnover ratio of 2015 </w:t>
      </w:r>
      <w:r w:rsidRPr="00C044F8">
        <w:rPr>
          <w:rFonts w:ascii="Times New Roman" w:hAnsi="Times New Roman" w:cs="Times New Roman"/>
          <w:sz w:val="24"/>
          <w:szCs w:val="24"/>
        </w:rPr>
        <w:lastRenderedPageBreak/>
        <w:t>is 3.67% and the ratio of 2014 was 3.84%. Therefore, the expected ratios of the company are expected to reduce due to the differences in the market and industry benchmarks. </w:t>
      </w:r>
    </w:p>
    <w:p w:rsidR="005F6C45" w:rsidRPr="00F430D0" w:rsidRDefault="005F6C45" w:rsidP="007A7206">
      <w:pPr>
        <w:spacing w:before="360" w:after="360" w:line="480" w:lineRule="auto"/>
        <w:rPr>
          <w:rFonts w:ascii="Times New Roman" w:hAnsi="Times New Roman" w:cs="Times New Roman"/>
          <w:b/>
          <w:sz w:val="24"/>
          <w:szCs w:val="24"/>
        </w:rPr>
      </w:pPr>
      <w:r w:rsidRPr="00F430D0">
        <w:rPr>
          <w:rFonts w:ascii="Times New Roman" w:hAnsi="Times New Roman" w:cs="Times New Roman"/>
          <w:b/>
          <w:sz w:val="24"/>
          <w:szCs w:val="24"/>
        </w:rPr>
        <w:t>Step 4 and 5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There are expected variances in the calculation of the company’s financial income, revenues, and estimations. As defined by Glover, Prawitt, &amp; Drake (2015), it is hard to define variance in a financial set-up, if there are financial misstatement and inherent errors or risks. For instance, the cost of goods might change due to the differences in misstatement and returned orders or shipments. The company has 573 returned orders. Therefore, this has to be taken into consideration when dealing with auditing and reallocation of accounts receivables and payables. To effectively determine the expected results, auditing processes have to be flawless and all the sampled information can control it critically expected values. For instance, according to the company’s financial ratios calculated: the expected ratio of using the unaudited data of 2015: the expected financial ratios of PharmaCorp shows a gross margin ratio of 0.81. The turnover ratio was 4.72. The receivables as a percentage of current assets ratio were at 0.20% and receivables as a percentage of total assets were at 0.067%. These trends show the different financial efficiency of the company in the financial year of 2015. The revenue cycle management of the company can be determined by its allowance ratio of 0.03%. These ratios will have a variance based on the auditing of the company’s 2015 financial information. Based on Glover, Prawitt, &amp; Drake (2015), the variance will be due to the unforeseen customer returns, order returns, and misstatement due to assertion and inherent risks. The financial ratios of the company will vary from the estimated value to a fledged variance and value. </w:t>
      </w:r>
    </w:p>
    <w:p w:rsidR="005F6C45" w:rsidRPr="00F430D0" w:rsidRDefault="005F6C45" w:rsidP="007A7206">
      <w:pPr>
        <w:spacing w:before="360" w:after="360" w:line="480" w:lineRule="auto"/>
        <w:rPr>
          <w:rFonts w:ascii="Times New Roman" w:hAnsi="Times New Roman" w:cs="Times New Roman"/>
          <w:b/>
          <w:sz w:val="24"/>
          <w:szCs w:val="24"/>
        </w:rPr>
      </w:pPr>
      <w:r w:rsidRPr="00F430D0">
        <w:rPr>
          <w:rFonts w:ascii="Times New Roman" w:hAnsi="Times New Roman" w:cs="Times New Roman"/>
          <w:b/>
          <w:sz w:val="24"/>
          <w:szCs w:val="24"/>
        </w:rPr>
        <w:t>Step 6 and 7</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lastRenderedPageBreak/>
        <w:t>According to Glover, Prawitt, &amp; Drake (2015), to have substantive analytical auditing, the team has to take into consideration the 5 tests of audit (disclosure, rights, completeness, existence, and rights) of transactions and accounting events. For instance, a key account or relation to consider is the relation between the cost of goods and revenue. As the company’s financial data portrays, there are returned orders and this will affect the accounts payable and receivables. This is why it will be essential to use a test of details of transactions to determine the unanticipated variances of the costs of goods and revenues or liabilities. According to Glover, Prawitt, &amp; Drake (2015), a test of details of transactions can help in determining the effects of misstatement and unaccounted variances. It will help in defining the closure of the contents of the financial details and its completeness by providing enough facts and information. The information, which will in the audit reports and files are the findings from the audit process and any errors. It is essential to note all errors in the financial statements need to be recorded and the steps used in the audit processes. Also, the information in the documents will show if there is any relationship between the accounts audited and vetted. </w:t>
      </w:r>
    </w:p>
    <w:p w:rsidR="005F6C45" w:rsidRPr="00C044F8" w:rsidRDefault="005F6C45" w:rsidP="007A7206">
      <w:pPr>
        <w:spacing w:before="360" w:after="360" w:line="480" w:lineRule="auto"/>
        <w:rPr>
          <w:rFonts w:ascii="Times New Roman" w:hAnsi="Times New Roman" w:cs="Times New Roman"/>
          <w:sz w:val="24"/>
          <w:szCs w:val="24"/>
        </w:rPr>
      </w:pPr>
      <w:r w:rsidRPr="00C044F8">
        <w:rPr>
          <w:rFonts w:ascii="Times New Roman" w:hAnsi="Times New Roman" w:cs="Times New Roman"/>
          <w:b/>
          <w:bCs/>
          <w:sz w:val="24"/>
          <w:szCs w:val="24"/>
        </w:rPr>
        <w:t>Part II: Substantive Analytical Procedures</w:t>
      </w:r>
    </w:p>
    <w:p w:rsidR="005F6C45" w:rsidRPr="00F430D0" w:rsidRDefault="005F6C45" w:rsidP="007A7206">
      <w:pPr>
        <w:spacing w:before="360" w:after="360" w:line="480" w:lineRule="auto"/>
        <w:rPr>
          <w:rFonts w:ascii="Times New Roman" w:hAnsi="Times New Roman" w:cs="Times New Roman"/>
          <w:b/>
          <w:sz w:val="24"/>
          <w:szCs w:val="24"/>
        </w:rPr>
      </w:pPr>
      <w:r w:rsidRPr="00F430D0">
        <w:rPr>
          <w:rFonts w:ascii="Times New Roman" w:hAnsi="Times New Roman" w:cs="Times New Roman"/>
          <w:b/>
          <w:sz w:val="24"/>
          <w:szCs w:val="24"/>
        </w:rPr>
        <w:t>Operating Segments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 xml:space="preserve">According to the PharmaCorp segment information, the companies operate in different segmentation. The market segments of the company are essential in determining the company’s revenue generation per segment. For auditing and substantive analytical procedures, the segments help in determining the operations and products of the company that are profitable. The company has different segments, which include Primary Care; Specialty Care and Oncology; Established Products and Emerging Markets; Animal Health; and Consumer Healthcare. The </w:t>
      </w:r>
      <w:r w:rsidRPr="00C044F8">
        <w:rPr>
          <w:rFonts w:ascii="Times New Roman" w:hAnsi="Times New Roman" w:cs="Times New Roman"/>
          <w:sz w:val="24"/>
          <w:szCs w:val="24"/>
        </w:rPr>
        <w:lastRenderedPageBreak/>
        <w:t>primary care products of the company are used in primacy care for different specialized cases and pharmaceutical processes in the market. Secondly, the specialized care unit takes into consideration the primary care and revenues generated from the company’s oncology illnesses and division. The revenues of primary care are addressed and invoiced to the business units of primary care and specialized care and oncology units. Sometimes, the company’s products lose patent and protection, hence, they are moved into the emerging and established markets. These deal with products and pharmaceutical prescriptions in emerging markets. It helps in the generation of income from the different business units of the company. </w:t>
      </w:r>
    </w:p>
    <w:p w:rsidR="005F6C45" w:rsidRPr="00F430D0" w:rsidRDefault="005F6C45" w:rsidP="007A7206">
      <w:pPr>
        <w:spacing w:before="360" w:after="360" w:line="480" w:lineRule="auto"/>
        <w:rPr>
          <w:rFonts w:ascii="Times New Roman" w:hAnsi="Times New Roman" w:cs="Times New Roman"/>
          <w:b/>
          <w:sz w:val="24"/>
          <w:szCs w:val="24"/>
        </w:rPr>
      </w:pPr>
      <w:r w:rsidRPr="00F430D0">
        <w:rPr>
          <w:rFonts w:ascii="Times New Roman" w:hAnsi="Times New Roman" w:cs="Times New Roman"/>
          <w:b/>
          <w:sz w:val="24"/>
          <w:szCs w:val="24"/>
        </w:rPr>
        <w:t>Operating Regions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More importantly, the company has to perform and enter local and international markets. Marketing is important since it addresses and helps in the functional unification of the company’s’ revenues across local and international markets. For instance, the company has a good process for determining its financial income and operations. The company has targeted the emerging markets of China, Brazil, and India. In 2015, these markets were the emerging markets of BRIC nations, which has new opportunities and investment opportunities. The United States of America comprises the company’s largest consumption pattern based on revenue generated in 2015 and 2014. The company has interests in other regions, such as Europe and the rest of the developed regions around the world. The company has universally targeted parts of developed Europe and the rest of the world. It shows a regional segmentation of investing in developed and developing nations only. </w:t>
      </w:r>
    </w:p>
    <w:p w:rsidR="005F6C45" w:rsidRPr="00F430D0" w:rsidRDefault="005F6C45" w:rsidP="007A7206">
      <w:pPr>
        <w:spacing w:before="360" w:after="360" w:line="480" w:lineRule="auto"/>
        <w:rPr>
          <w:rFonts w:ascii="Times New Roman" w:hAnsi="Times New Roman" w:cs="Times New Roman"/>
          <w:b/>
          <w:sz w:val="24"/>
          <w:szCs w:val="24"/>
        </w:rPr>
      </w:pPr>
      <w:r w:rsidRPr="00F430D0">
        <w:rPr>
          <w:rFonts w:ascii="Times New Roman" w:hAnsi="Times New Roman" w:cs="Times New Roman"/>
          <w:b/>
          <w:sz w:val="24"/>
          <w:szCs w:val="24"/>
        </w:rPr>
        <w:t>Revenue Generation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lastRenderedPageBreak/>
        <w:t>According to the general information presented by the company in segment revenue generation, the highest in terms of revenues is the biopharmaceutical products. The sector has been performing better in 2015, 14, and 13. For instance, revenue generated from biopharmaceutical products in 2015 was $ 51,214 million and in 2014, it was $57,747 million. Although these are the leading segments, there are also different segments, such as animal health, consumer healthcare, and others. For instance, the other leading sectors include animal health with $4,299 million in 2015 and $4,184 million in 2014. To effectively consider the company’s revenues, in consumer healthcare, it generated a revenue of $3,212 million in 2015 and $3,028 million in 2014. Per segmentation, the biopharmaceutical products are the leading segments in terms of revenue generated.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Secondly, the geographical revenue generation marks another important revenue generation classification for the company. The maiden market is the United States and per region, it has been outperforming the other remaining regions of developed Europe, the developed rest of the world, and the emerging markets. For instance, in 2015 and 2014, the United States and Japan contributed over 10% of total income 2015. In 2014 and 2013, the United States was the only region to contribute over 10% of the total income of the company. for instance, in sampling the company’s’ region revenues; in 2015, United States had revenue of $23,086 million, developed Europe had $13,375 million, developed rest of the world had $10,554 million and emerging markets had $11,971 million. Therefore, according to these stats, U.S is the most profitable region of the company in its domestic and global market segmentation.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lastRenderedPageBreak/>
        <w:t>According to the revenue of the company, its product lists show importance in terms of revenue generated by these products. For instance, Lipco is one of the most profitable products of the company in 2014 and 13. The product has contributed over $9 million in revenue. But in 2015, the revenue of the product declined to $3,948 million. Therefore, based on revenues, the most profitable products of the company include Lyran, Lipco, Prevnent, and Enbiding (sold in the USA and Canada). These products add more to the company’s revenues in the local and international markets.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There are different trends in terms of segmentation. The revenue generated by the company allows the company to invest more in biopharmaceutical production and innovation. More importantly, the segmentation of the company’s product offers a lot in terms of product development and diversity. Also, changes should be made in the terms of products and revenue generated. For instance, according to the revenues of the company, Lipco has been in decline in revenue generation. Products, such as Lyran and Prevnent have been in steady growth in the past years. Their demand is rising annually and this is a good trend for the company. The trends in regional revenue also call for international investment in the process of revenue generation and collection. The company has more investment in the local markets. It should balance its development into developing markets for investment options. </w:t>
      </w:r>
    </w:p>
    <w:p w:rsidR="005F6C45" w:rsidRPr="00F430D0" w:rsidRDefault="005F6C45" w:rsidP="007A7206">
      <w:pPr>
        <w:spacing w:before="360" w:after="360" w:line="480" w:lineRule="auto"/>
        <w:rPr>
          <w:rFonts w:ascii="Times New Roman" w:hAnsi="Times New Roman" w:cs="Times New Roman"/>
          <w:b/>
          <w:sz w:val="24"/>
          <w:szCs w:val="24"/>
        </w:rPr>
      </w:pPr>
      <w:r w:rsidRPr="00F430D0">
        <w:rPr>
          <w:rFonts w:ascii="Times New Roman" w:hAnsi="Times New Roman" w:cs="Times New Roman"/>
          <w:b/>
          <w:sz w:val="24"/>
          <w:szCs w:val="24"/>
        </w:rPr>
        <w:t>Ratio Analysis</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 xml:space="preserve">According to the information obtained from the revenues generated in the company’s segments, a research development ratio as a percentage of investment and revenues calculated. This ratio can be essential to identify how much the company invests in the regional markets. More importantly, of importance is the amount of profitability the company generates from </w:t>
      </w:r>
      <w:r w:rsidRPr="00C044F8">
        <w:rPr>
          <w:rFonts w:ascii="Times New Roman" w:hAnsi="Times New Roman" w:cs="Times New Roman"/>
          <w:sz w:val="24"/>
          <w:szCs w:val="24"/>
        </w:rPr>
        <w:lastRenderedPageBreak/>
        <w:t>international and local investment processes. These ratios will help in the identification of investments, revenues, and what is being carried to improve and increase revenue generation through the company’s local and international investments. </w:t>
      </w:r>
    </w:p>
    <w:p w:rsidR="005F6C45"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The planning analytics are different since they offer a different view of the expected results. For instance, the common demand in the market is to analyze the financial profitability and income generation from industry metrics. The analytical planning looks at the overall comparison of a company’s competitors. On the other, substantive analytics offers a closer look at the operations of the company. For instance, looking at the revenue generated from products and segments illustrate an assurance of product development and unique support. </w:t>
      </w:r>
    </w:p>
    <w:p w:rsidR="0031601C" w:rsidRPr="00C044F8" w:rsidRDefault="005F6C45" w:rsidP="007A7206">
      <w:pPr>
        <w:spacing w:before="360" w:after="360" w:line="480" w:lineRule="auto"/>
        <w:ind w:firstLine="720"/>
        <w:rPr>
          <w:rFonts w:ascii="Times New Roman" w:hAnsi="Times New Roman" w:cs="Times New Roman"/>
          <w:sz w:val="24"/>
          <w:szCs w:val="24"/>
        </w:rPr>
      </w:pPr>
      <w:r w:rsidRPr="00C044F8">
        <w:rPr>
          <w:rFonts w:ascii="Times New Roman" w:hAnsi="Times New Roman" w:cs="Times New Roman"/>
          <w:sz w:val="24"/>
          <w:szCs w:val="24"/>
        </w:rPr>
        <w:t>In conclusion, it is important and valid to consider the analysis of the company’s revenues, operations, and regional consumption. A valid action, in this case, is to determine the benefits of financial awareness and shifting this performance to meet and improve financial interpretation. In the case of PharmaCorp, the use of different test of details in revenue generation will help to improve interactions and understanding of the company’s prospective income processes</w:t>
      </w:r>
      <w:r w:rsidR="00BA04E1" w:rsidRPr="00C044F8">
        <w:rPr>
          <w:rFonts w:ascii="Times New Roman" w:hAnsi="Times New Roman" w:cs="Times New Roman"/>
          <w:sz w:val="24"/>
          <w:szCs w:val="24"/>
        </w:rPr>
        <w:t xml:space="preserve">. </w:t>
      </w:r>
    </w:p>
    <w:p w:rsidR="007A7206" w:rsidRDefault="007A7206">
      <w:pPr>
        <w:rPr>
          <w:rFonts w:ascii="Times New Roman" w:hAnsi="Times New Roman" w:cs="Times New Roman"/>
          <w:sz w:val="24"/>
          <w:szCs w:val="24"/>
        </w:rPr>
      </w:pPr>
      <w:r>
        <w:rPr>
          <w:rFonts w:ascii="Times New Roman" w:hAnsi="Times New Roman" w:cs="Times New Roman"/>
          <w:sz w:val="24"/>
          <w:szCs w:val="24"/>
        </w:rPr>
        <w:br w:type="page"/>
      </w:r>
    </w:p>
    <w:p w:rsidR="00BA04E1" w:rsidRPr="00F430D0" w:rsidRDefault="00BA04E1" w:rsidP="007A7206">
      <w:pPr>
        <w:spacing w:before="360" w:after="360" w:line="480" w:lineRule="auto"/>
        <w:jc w:val="center"/>
        <w:rPr>
          <w:rFonts w:ascii="Times New Roman" w:hAnsi="Times New Roman" w:cs="Times New Roman"/>
          <w:sz w:val="24"/>
          <w:szCs w:val="24"/>
        </w:rPr>
      </w:pPr>
      <w:r w:rsidRPr="00F430D0">
        <w:rPr>
          <w:rFonts w:ascii="Times New Roman" w:hAnsi="Times New Roman" w:cs="Times New Roman"/>
          <w:sz w:val="24"/>
          <w:szCs w:val="24"/>
        </w:rPr>
        <w:lastRenderedPageBreak/>
        <w:t>References</w:t>
      </w:r>
    </w:p>
    <w:p w:rsidR="00924CEA" w:rsidRPr="00924CEA" w:rsidRDefault="00924CEA" w:rsidP="007A7206">
      <w:pPr>
        <w:spacing w:before="360" w:after="360" w:line="480" w:lineRule="auto"/>
        <w:ind w:left="720" w:hanging="720"/>
        <w:rPr>
          <w:rFonts w:ascii="Times New Roman" w:hAnsi="Times New Roman" w:cs="Times New Roman"/>
          <w:sz w:val="24"/>
          <w:szCs w:val="24"/>
        </w:rPr>
      </w:pPr>
      <w:r w:rsidRPr="00924CEA">
        <w:rPr>
          <w:rFonts w:ascii="Times New Roman" w:hAnsi="Times New Roman" w:cs="Times New Roman"/>
          <w:sz w:val="24"/>
          <w:szCs w:val="24"/>
        </w:rPr>
        <w:t>Azzali, S., Mazza, T., Fornaciari, L., &amp; Trinchera, L. (2018). Effects of Materiality Assessment on Internal Controls over Financial Reporting Maturity. </w:t>
      </w:r>
      <w:r w:rsidRPr="00924CEA">
        <w:rPr>
          <w:rFonts w:ascii="Times New Roman" w:hAnsi="Times New Roman" w:cs="Times New Roman"/>
          <w:i/>
          <w:iCs/>
          <w:sz w:val="24"/>
          <w:szCs w:val="24"/>
        </w:rPr>
        <w:t>International Journal of Business and Management</w:t>
      </w:r>
      <w:r w:rsidRPr="00924CEA">
        <w:rPr>
          <w:rFonts w:ascii="Times New Roman" w:hAnsi="Times New Roman" w:cs="Times New Roman"/>
          <w:sz w:val="24"/>
          <w:szCs w:val="24"/>
        </w:rPr>
        <w:t>, </w:t>
      </w:r>
      <w:r w:rsidRPr="00924CEA">
        <w:rPr>
          <w:rFonts w:ascii="Times New Roman" w:hAnsi="Times New Roman" w:cs="Times New Roman"/>
          <w:i/>
          <w:iCs/>
          <w:sz w:val="24"/>
          <w:szCs w:val="24"/>
        </w:rPr>
        <w:t>13</w:t>
      </w:r>
      <w:r w:rsidRPr="00924CEA">
        <w:rPr>
          <w:rFonts w:ascii="Times New Roman" w:hAnsi="Times New Roman" w:cs="Times New Roman"/>
          <w:sz w:val="24"/>
          <w:szCs w:val="24"/>
        </w:rPr>
        <w:t>(11).</w:t>
      </w:r>
    </w:p>
    <w:p w:rsidR="00924CEA" w:rsidRPr="00924CEA" w:rsidRDefault="00924CEA" w:rsidP="007A7206">
      <w:pPr>
        <w:spacing w:before="360" w:after="360" w:line="480" w:lineRule="auto"/>
        <w:ind w:left="720" w:hanging="720"/>
        <w:rPr>
          <w:rFonts w:ascii="Times New Roman" w:hAnsi="Times New Roman" w:cs="Times New Roman"/>
          <w:sz w:val="24"/>
          <w:szCs w:val="24"/>
        </w:rPr>
      </w:pPr>
      <w:r w:rsidRPr="00924CEA">
        <w:rPr>
          <w:rFonts w:ascii="Times New Roman" w:hAnsi="Times New Roman" w:cs="Times New Roman"/>
          <w:sz w:val="24"/>
          <w:szCs w:val="24"/>
        </w:rPr>
        <w:t>Boynton, W. C., &amp; Johnson, R. N. (2006). </w:t>
      </w:r>
      <w:r w:rsidRPr="00924CEA">
        <w:rPr>
          <w:rFonts w:ascii="Times New Roman" w:hAnsi="Times New Roman" w:cs="Times New Roman"/>
          <w:i/>
          <w:iCs/>
          <w:sz w:val="24"/>
          <w:szCs w:val="24"/>
        </w:rPr>
        <w:t>Modern auditing: Assurance services and the integrity of financial reporting</w:t>
      </w:r>
      <w:r w:rsidRPr="00924CEA">
        <w:rPr>
          <w:rFonts w:ascii="Times New Roman" w:hAnsi="Times New Roman" w:cs="Times New Roman"/>
          <w:sz w:val="24"/>
          <w:szCs w:val="24"/>
        </w:rPr>
        <w:t>. Wiley.</w:t>
      </w:r>
    </w:p>
    <w:p w:rsidR="00924CEA" w:rsidRPr="00924CEA" w:rsidRDefault="00924CEA" w:rsidP="007A7206">
      <w:pPr>
        <w:spacing w:before="360" w:after="360" w:line="480" w:lineRule="auto"/>
        <w:ind w:left="720" w:hanging="720"/>
        <w:rPr>
          <w:rFonts w:ascii="Times New Roman" w:hAnsi="Times New Roman" w:cs="Times New Roman"/>
          <w:sz w:val="24"/>
          <w:szCs w:val="24"/>
        </w:rPr>
      </w:pPr>
      <w:r w:rsidRPr="00924CEA">
        <w:rPr>
          <w:rFonts w:ascii="Times New Roman" w:hAnsi="Times New Roman" w:cs="Times New Roman"/>
          <w:sz w:val="24"/>
          <w:szCs w:val="24"/>
        </w:rPr>
        <w:t>Glover, S. M., Prawitt, D. F., &amp; Drake, M. S. (2015). Between a rock and a hard place: A path forward for using substantive analytical procedures in auditing large P&amp;L accounts: Commentary and analysis. </w:t>
      </w:r>
      <w:r w:rsidRPr="00924CEA">
        <w:rPr>
          <w:rFonts w:ascii="Times New Roman" w:hAnsi="Times New Roman" w:cs="Times New Roman"/>
          <w:i/>
          <w:iCs/>
          <w:sz w:val="24"/>
          <w:szCs w:val="24"/>
        </w:rPr>
        <w:t>Auditing: A Journal of Practice &amp; Theory</w:t>
      </w:r>
      <w:r w:rsidRPr="00924CEA">
        <w:rPr>
          <w:rFonts w:ascii="Times New Roman" w:hAnsi="Times New Roman" w:cs="Times New Roman"/>
          <w:sz w:val="24"/>
          <w:szCs w:val="24"/>
        </w:rPr>
        <w:t>, </w:t>
      </w:r>
      <w:r w:rsidRPr="00924CEA">
        <w:rPr>
          <w:rFonts w:ascii="Times New Roman" w:hAnsi="Times New Roman" w:cs="Times New Roman"/>
          <w:i/>
          <w:iCs/>
          <w:sz w:val="24"/>
          <w:szCs w:val="24"/>
        </w:rPr>
        <w:t>34</w:t>
      </w:r>
      <w:r w:rsidRPr="00924CEA">
        <w:rPr>
          <w:rFonts w:ascii="Times New Roman" w:hAnsi="Times New Roman" w:cs="Times New Roman"/>
          <w:sz w:val="24"/>
          <w:szCs w:val="24"/>
        </w:rPr>
        <w:t xml:space="preserve">(3), 161-179. </w:t>
      </w:r>
    </w:p>
    <w:p w:rsidR="00924CEA" w:rsidRPr="00924CEA" w:rsidRDefault="00924CEA" w:rsidP="007A7206">
      <w:pPr>
        <w:spacing w:before="360" w:after="360" w:line="480" w:lineRule="auto"/>
        <w:ind w:left="720" w:hanging="720"/>
        <w:rPr>
          <w:rFonts w:ascii="Times New Roman" w:hAnsi="Times New Roman" w:cs="Times New Roman"/>
          <w:sz w:val="24"/>
          <w:szCs w:val="24"/>
        </w:rPr>
      </w:pPr>
      <w:r w:rsidRPr="00924CEA">
        <w:rPr>
          <w:rFonts w:ascii="Times New Roman" w:hAnsi="Times New Roman" w:cs="Times New Roman"/>
          <w:sz w:val="24"/>
          <w:szCs w:val="24"/>
        </w:rPr>
        <w:t>Jewell, B. (2020). Revenue Cycle Management. In </w:t>
      </w:r>
      <w:r w:rsidRPr="00924CEA">
        <w:rPr>
          <w:rFonts w:ascii="Times New Roman" w:hAnsi="Times New Roman" w:cs="Times New Roman"/>
          <w:i/>
          <w:iCs/>
          <w:sz w:val="24"/>
          <w:szCs w:val="24"/>
        </w:rPr>
        <w:t>The Business Basics of Building and Managing a Healthcare Practice</w:t>
      </w:r>
      <w:r w:rsidRPr="00924CEA">
        <w:rPr>
          <w:rFonts w:ascii="Times New Roman" w:hAnsi="Times New Roman" w:cs="Times New Roman"/>
          <w:sz w:val="24"/>
          <w:szCs w:val="24"/>
        </w:rPr>
        <w:t> (pp. 19-29). Springer, Cham.</w:t>
      </w:r>
    </w:p>
    <w:p w:rsidR="00924CEA" w:rsidRPr="00924CEA" w:rsidRDefault="00924CEA" w:rsidP="007A7206">
      <w:pPr>
        <w:spacing w:before="360" w:after="360" w:line="480" w:lineRule="auto"/>
        <w:ind w:left="720" w:hanging="720"/>
        <w:rPr>
          <w:rFonts w:ascii="Times New Roman" w:hAnsi="Times New Roman" w:cs="Times New Roman"/>
          <w:sz w:val="24"/>
          <w:szCs w:val="24"/>
        </w:rPr>
      </w:pPr>
      <w:r w:rsidRPr="00924CEA">
        <w:rPr>
          <w:rFonts w:ascii="Times New Roman" w:hAnsi="Times New Roman" w:cs="Times New Roman"/>
          <w:sz w:val="24"/>
          <w:szCs w:val="24"/>
        </w:rPr>
        <w:t>Kumar, R., &amp; Sharma, V. (2015). </w:t>
      </w:r>
      <w:r w:rsidRPr="00924CEA">
        <w:rPr>
          <w:rFonts w:ascii="Times New Roman" w:hAnsi="Times New Roman" w:cs="Times New Roman"/>
          <w:i/>
          <w:iCs/>
          <w:sz w:val="24"/>
          <w:szCs w:val="24"/>
        </w:rPr>
        <w:t>Auditing: Principles and practice</w:t>
      </w:r>
      <w:r w:rsidRPr="00924CEA">
        <w:rPr>
          <w:rFonts w:ascii="Times New Roman" w:hAnsi="Times New Roman" w:cs="Times New Roman"/>
          <w:sz w:val="24"/>
          <w:szCs w:val="24"/>
        </w:rPr>
        <w:t>. PHI Learning Pvt. Ltd.</w:t>
      </w:r>
    </w:p>
    <w:p w:rsidR="00924CEA" w:rsidRPr="00924CEA" w:rsidRDefault="00924CEA" w:rsidP="007A7206">
      <w:pPr>
        <w:spacing w:before="360" w:after="360" w:line="480" w:lineRule="auto"/>
        <w:ind w:left="720" w:hanging="720"/>
        <w:rPr>
          <w:rFonts w:ascii="Times New Roman" w:hAnsi="Times New Roman" w:cs="Times New Roman"/>
          <w:sz w:val="24"/>
          <w:szCs w:val="24"/>
        </w:rPr>
      </w:pPr>
      <w:r w:rsidRPr="00924CEA">
        <w:rPr>
          <w:rFonts w:ascii="Times New Roman" w:hAnsi="Times New Roman" w:cs="Times New Roman"/>
          <w:sz w:val="24"/>
          <w:szCs w:val="24"/>
        </w:rPr>
        <w:t>William Jr, M., Glover, S., &amp; Prawitt, D. (2016). </w:t>
      </w:r>
      <w:r w:rsidRPr="00924CEA">
        <w:rPr>
          <w:rFonts w:ascii="Times New Roman" w:hAnsi="Times New Roman" w:cs="Times New Roman"/>
          <w:i/>
          <w:iCs/>
          <w:sz w:val="24"/>
          <w:szCs w:val="24"/>
        </w:rPr>
        <w:t>Auditing and assurance services: A systematic approach</w:t>
      </w:r>
      <w:r w:rsidRPr="00924CEA">
        <w:rPr>
          <w:rFonts w:ascii="Times New Roman" w:hAnsi="Times New Roman" w:cs="Times New Roman"/>
          <w:sz w:val="24"/>
          <w:szCs w:val="24"/>
        </w:rPr>
        <w:t>. McGraw-Hill Education.</w:t>
      </w:r>
    </w:p>
    <w:p w:rsidR="00BA04E1" w:rsidRPr="00C044F8" w:rsidRDefault="00BA04E1" w:rsidP="007A7206">
      <w:pPr>
        <w:spacing w:before="360" w:after="360" w:line="480" w:lineRule="auto"/>
        <w:jc w:val="both"/>
        <w:rPr>
          <w:rFonts w:ascii="Times New Roman" w:hAnsi="Times New Roman" w:cs="Times New Roman"/>
          <w:sz w:val="24"/>
          <w:szCs w:val="24"/>
        </w:rPr>
      </w:pPr>
    </w:p>
    <w:p w:rsidR="00134BEE" w:rsidRPr="00C044F8" w:rsidRDefault="00134BEE" w:rsidP="007A7206">
      <w:pPr>
        <w:spacing w:before="360" w:after="360" w:line="480" w:lineRule="auto"/>
        <w:ind w:firstLine="720"/>
        <w:jc w:val="both"/>
        <w:rPr>
          <w:rFonts w:ascii="Times New Roman" w:hAnsi="Times New Roman" w:cs="Times New Roman"/>
          <w:sz w:val="24"/>
          <w:szCs w:val="24"/>
        </w:rPr>
      </w:pPr>
    </w:p>
    <w:p w:rsidR="005F1996" w:rsidRPr="00C044F8" w:rsidRDefault="005F1996" w:rsidP="007A7206">
      <w:pPr>
        <w:spacing w:before="360" w:after="360" w:line="480" w:lineRule="auto"/>
        <w:jc w:val="both"/>
        <w:rPr>
          <w:rFonts w:ascii="Times New Roman" w:hAnsi="Times New Roman" w:cs="Times New Roman"/>
          <w:sz w:val="24"/>
          <w:szCs w:val="24"/>
        </w:rPr>
      </w:pPr>
    </w:p>
    <w:p w:rsidR="00E27722" w:rsidRPr="00C044F8" w:rsidRDefault="00E27722" w:rsidP="007A7206">
      <w:pPr>
        <w:spacing w:before="360" w:after="360" w:line="480" w:lineRule="auto"/>
        <w:jc w:val="both"/>
        <w:rPr>
          <w:rFonts w:ascii="Times New Roman" w:hAnsi="Times New Roman" w:cs="Times New Roman"/>
          <w:sz w:val="24"/>
          <w:szCs w:val="24"/>
        </w:rPr>
      </w:pPr>
    </w:p>
    <w:p w:rsidR="002942E9" w:rsidRPr="00C044F8" w:rsidRDefault="002942E9" w:rsidP="007A7206">
      <w:pPr>
        <w:spacing w:before="360" w:after="360" w:line="480" w:lineRule="auto"/>
        <w:jc w:val="both"/>
        <w:rPr>
          <w:rFonts w:ascii="Times New Roman" w:hAnsi="Times New Roman" w:cs="Times New Roman"/>
          <w:sz w:val="24"/>
          <w:szCs w:val="24"/>
        </w:rPr>
      </w:pPr>
    </w:p>
    <w:sectPr w:rsidR="002942E9" w:rsidRPr="00C044F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BDA" w:rsidRDefault="00FC1BDA" w:rsidP="00935761">
      <w:pPr>
        <w:spacing w:after="0" w:line="240" w:lineRule="auto"/>
      </w:pPr>
      <w:r>
        <w:separator/>
      </w:r>
    </w:p>
  </w:endnote>
  <w:endnote w:type="continuationSeparator" w:id="0">
    <w:p w:rsidR="00FC1BDA" w:rsidRDefault="00FC1BDA" w:rsidP="00935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BDA" w:rsidRDefault="00FC1BDA" w:rsidP="00935761">
      <w:pPr>
        <w:spacing w:after="0" w:line="240" w:lineRule="auto"/>
      </w:pPr>
      <w:r>
        <w:separator/>
      </w:r>
    </w:p>
  </w:footnote>
  <w:footnote w:type="continuationSeparator" w:id="0">
    <w:p w:rsidR="00FC1BDA" w:rsidRDefault="00FC1BDA" w:rsidP="00935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614129166"/>
      <w:docPartObj>
        <w:docPartGallery w:val="Page Numbers (Top of Page)"/>
        <w:docPartUnique/>
      </w:docPartObj>
    </w:sdtPr>
    <w:sdtEndPr>
      <w:rPr>
        <w:noProof/>
      </w:rPr>
    </w:sdtEndPr>
    <w:sdtContent>
      <w:p w:rsidR="00862A17" w:rsidRPr="00D61C94" w:rsidRDefault="003D3670" w:rsidP="007A7206">
        <w:pPr>
          <w:pStyle w:val="Header"/>
          <w:tabs>
            <w:tab w:val="clear" w:pos="9360"/>
            <w:tab w:val="right" w:pos="8460"/>
          </w:tabs>
          <w:ind w:left="4680" w:firstLine="3960"/>
          <w:rPr>
            <w:rFonts w:ascii="Times New Roman" w:hAnsi="Times New Roman" w:cs="Times New Roman"/>
          </w:rPr>
        </w:pPr>
        <w:r>
          <w:rPr>
            <w:rFonts w:ascii="Times New Roman" w:hAnsi="Times New Roman" w:cs="Times New Roman"/>
            <w:sz w:val="24"/>
            <w:szCs w:val="24"/>
          </w:rPr>
          <w:t xml:space="preserve"> </w:t>
        </w:r>
        <w:r w:rsidR="00862A17" w:rsidRPr="00D61C94">
          <w:rPr>
            <w:rFonts w:ascii="Times New Roman" w:hAnsi="Times New Roman" w:cs="Times New Roman"/>
            <w:sz w:val="24"/>
            <w:szCs w:val="24"/>
          </w:rPr>
          <w:t xml:space="preserve"> </w:t>
        </w:r>
        <w:r w:rsidR="00862A17" w:rsidRPr="00D61C94">
          <w:rPr>
            <w:rFonts w:ascii="Times New Roman" w:hAnsi="Times New Roman" w:cs="Times New Roman"/>
          </w:rPr>
          <w:fldChar w:fldCharType="begin"/>
        </w:r>
        <w:r w:rsidR="00862A17" w:rsidRPr="00D61C94">
          <w:rPr>
            <w:rFonts w:ascii="Times New Roman" w:hAnsi="Times New Roman" w:cs="Times New Roman"/>
          </w:rPr>
          <w:instrText xml:space="preserve"> PAGE   \* MERGEFORMAT </w:instrText>
        </w:r>
        <w:r w:rsidR="00862A17" w:rsidRPr="00D61C94">
          <w:rPr>
            <w:rFonts w:ascii="Times New Roman" w:hAnsi="Times New Roman" w:cs="Times New Roman"/>
          </w:rPr>
          <w:fldChar w:fldCharType="separate"/>
        </w:r>
        <w:r w:rsidR="008C16A5">
          <w:rPr>
            <w:rFonts w:ascii="Times New Roman" w:hAnsi="Times New Roman" w:cs="Times New Roman"/>
            <w:noProof/>
          </w:rPr>
          <w:t>2</w:t>
        </w:r>
        <w:r w:rsidR="00862A17" w:rsidRPr="00D61C94">
          <w:rPr>
            <w:rFonts w:ascii="Times New Roman" w:hAnsi="Times New Roman" w:cs="Times New Roman"/>
            <w:noProof/>
          </w:rPr>
          <w:fldChar w:fldCharType="end"/>
        </w:r>
      </w:p>
    </w:sdtContent>
  </w:sdt>
  <w:p w:rsidR="00862A17" w:rsidRDefault="00862A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761"/>
    <w:rsid w:val="00053F6E"/>
    <w:rsid w:val="000A5250"/>
    <w:rsid w:val="000E50E0"/>
    <w:rsid w:val="000F52C6"/>
    <w:rsid w:val="00112980"/>
    <w:rsid w:val="00126A57"/>
    <w:rsid w:val="00134BEE"/>
    <w:rsid w:val="00163A06"/>
    <w:rsid w:val="0016656F"/>
    <w:rsid w:val="001B3701"/>
    <w:rsid w:val="001C3AD4"/>
    <w:rsid w:val="00206AC0"/>
    <w:rsid w:val="00227187"/>
    <w:rsid w:val="00227FEC"/>
    <w:rsid w:val="00263D54"/>
    <w:rsid w:val="00267399"/>
    <w:rsid w:val="002942E9"/>
    <w:rsid w:val="002B3293"/>
    <w:rsid w:val="002C3746"/>
    <w:rsid w:val="00302989"/>
    <w:rsid w:val="0031601C"/>
    <w:rsid w:val="00332864"/>
    <w:rsid w:val="00333CE8"/>
    <w:rsid w:val="00375D6B"/>
    <w:rsid w:val="00397CB8"/>
    <w:rsid w:val="003D0E8F"/>
    <w:rsid w:val="003D1C71"/>
    <w:rsid w:val="003D3670"/>
    <w:rsid w:val="003E31BC"/>
    <w:rsid w:val="003F09B7"/>
    <w:rsid w:val="003F403F"/>
    <w:rsid w:val="00412CD2"/>
    <w:rsid w:val="00484305"/>
    <w:rsid w:val="004D539D"/>
    <w:rsid w:val="005420C4"/>
    <w:rsid w:val="00583635"/>
    <w:rsid w:val="005A6488"/>
    <w:rsid w:val="005D751F"/>
    <w:rsid w:val="005F1996"/>
    <w:rsid w:val="005F6C45"/>
    <w:rsid w:val="00623DF6"/>
    <w:rsid w:val="00647EFF"/>
    <w:rsid w:val="006637C5"/>
    <w:rsid w:val="00664506"/>
    <w:rsid w:val="00677754"/>
    <w:rsid w:val="00680E98"/>
    <w:rsid w:val="00686A20"/>
    <w:rsid w:val="006D517C"/>
    <w:rsid w:val="00705ECA"/>
    <w:rsid w:val="00754586"/>
    <w:rsid w:val="00760D14"/>
    <w:rsid w:val="007A7206"/>
    <w:rsid w:val="007B555E"/>
    <w:rsid w:val="007E2DF2"/>
    <w:rsid w:val="00862A17"/>
    <w:rsid w:val="0089088A"/>
    <w:rsid w:val="00891024"/>
    <w:rsid w:val="008C16A5"/>
    <w:rsid w:val="008F617B"/>
    <w:rsid w:val="008F652C"/>
    <w:rsid w:val="009232B0"/>
    <w:rsid w:val="00924CEA"/>
    <w:rsid w:val="009332E5"/>
    <w:rsid w:val="00935761"/>
    <w:rsid w:val="009767D5"/>
    <w:rsid w:val="009E01B6"/>
    <w:rsid w:val="00A236EF"/>
    <w:rsid w:val="00A7135F"/>
    <w:rsid w:val="00AC0A64"/>
    <w:rsid w:val="00AC4697"/>
    <w:rsid w:val="00AE63ED"/>
    <w:rsid w:val="00B018AF"/>
    <w:rsid w:val="00B03964"/>
    <w:rsid w:val="00B1311A"/>
    <w:rsid w:val="00B44BA8"/>
    <w:rsid w:val="00B47B13"/>
    <w:rsid w:val="00B55ADD"/>
    <w:rsid w:val="00BA04E1"/>
    <w:rsid w:val="00C044F8"/>
    <w:rsid w:val="00C91FFA"/>
    <w:rsid w:val="00C96D7B"/>
    <w:rsid w:val="00CF1F78"/>
    <w:rsid w:val="00D26235"/>
    <w:rsid w:val="00D61C94"/>
    <w:rsid w:val="00DA5B60"/>
    <w:rsid w:val="00DC16D9"/>
    <w:rsid w:val="00DD2AEB"/>
    <w:rsid w:val="00DF55C4"/>
    <w:rsid w:val="00E26F8B"/>
    <w:rsid w:val="00E27722"/>
    <w:rsid w:val="00E430B1"/>
    <w:rsid w:val="00E96B57"/>
    <w:rsid w:val="00EE6226"/>
    <w:rsid w:val="00EF3923"/>
    <w:rsid w:val="00F1494F"/>
    <w:rsid w:val="00F430D0"/>
    <w:rsid w:val="00F67CAE"/>
    <w:rsid w:val="00F9137E"/>
    <w:rsid w:val="00FC1BDA"/>
    <w:rsid w:val="00FD07F1"/>
    <w:rsid w:val="00FE5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CB697"/>
  <w15:chartTrackingRefBased/>
  <w15:docId w15:val="{AE5651C3-2065-45A7-8A30-1D20C9A99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761"/>
  </w:style>
  <w:style w:type="paragraph" w:styleId="Footer">
    <w:name w:val="footer"/>
    <w:basedOn w:val="Normal"/>
    <w:link w:val="FooterChar"/>
    <w:uiPriority w:val="99"/>
    <w:unhideWhenUsed/>
    <w:rsid w:val="00935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40438">
      <w:bodyDiv w:val="1"/>
      <w:marLeft w:val="0"/>
      <w:marRight w:val="0"/>
      <w:marTop w:val="0"/>
      <w:marBottom w:val="0"/>
      <w:divBdr>
        <w:top w:val="none" w:sz="0" w:space="0" w:color="auto"/>
        <w:left w:val="none" w:sz="0" w:space="0" w:color="auto"/>
        <w:bottom w:val="none" w:sz="0" w:space="0" w:color="auto"/>
        <w:right w:val="none" w:sz="0" w:space="0" w:color="auto"/>
      </w:divBdr>
    </w:div>
    <w:div w:id="190004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1F4D8-BBB7-4FE2-9A77-4331B0FCC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2245</Words>
  <Characters>12800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beonchari@hotmail.com</dc:creator>
  <cp:keywords/>
  <dc:description/>
  <cp:lastModifiedBy>Windows User</cp:lastModifiedBy>
  <cp:revision>2</cp:revision>
  <dcterms:created xsi:type="dcterms:W3CDTF">2020-10-31T08:20:00Z</dcterms:created>
  <dcterms:modified xsi:type="dcterms:W3CDTF">2020-10-31T08:20:00Z</dcterms:modified>
</cp:coreProperties>
</file>