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rPr/>
      </w:pPr>
    </w:p>
    <w:p>
      <w:pPr>
        <w:pStyle w:val="style0"/>
        <w:spacing w:after="0"/>
        <w:jc w:val="center"/>
        <w:rPr/>
      </w:pPr>
      <w:r>
        <w:t>No Social Security Benefits for Prisoners Act of 2009</w:t>
      </w:r>
      <w:r>
        <w:t xml:space="preserve"> </w:t>
      </w:r>
    </w:p>
    <w:p>
      <w:pPr>
        <w:pStyle w:val="style0"/>
        <w:spacing w:after="0"/>
        <w:jc w:val="center"/>
        <w:rPr/>
      </w:pPr>
      <w:r>
        <w:t>Student’s Name</w:t>
      </w:r>
    </w:p>
    <w:p>
      <w:pPr>
        <w:pStyle w:val="style0"/>
        <w:spacing w:after="0"/>
        <w:jc w:val="center"/>
        <w:rPr/>
      </w:pPr>
      <w:r>
        <w:t>Institutional Affiliation</w:t>
      </w:r>
    </w:p>
    <w:p>
      <w:pPr>
        <w:pStyle w:val="style0"/>
        <w:spacing w:after="0"/>
        <w:jc w:val="center"/>
        <w:rPr/>
      </w:pPr>
      <w:r>
        <w:t>Course Number</w:t>
      </w:r>
    </w:p>
    <w:p>
      <w:pPr>
        <w:pStyle w:val="style0"/>
        <w:spacing w:after="0"/>
        <w:jc w:val="center"/>
        <w:rPr/>
      </w:pPr>
      <w:r>
        <w:t>Course Name</w:t>
      </w:r>
    </w:p>
    <w:p>
      <w:pPr>
        <w:pStyle w:val="style0"/>
        <w:spacing w:after="0"/>
        <w:jc w:val="center"/>
        <w:rPr/>
      </w:pPr>
      <w:r>
        <w:t>Instructor’s Name</w:t>
      </w:r>
    </w:p>
    <w:p>
      <w:pPr>
        <w:pStyle w:val="style0"/>
        <w:spacing w:after="0"/>
        <w:jc w:val="center"/>
        <w:rPr/>
      </w:pPr>
      <w:r>
        <w:t>Assignment Due Date</w:t>
      </w:r>
    </w:p>
    <w:p>
      <w:pPr>
        <w:pStyle w:val="style0"/>
        <w:spacing w:after="0"/>
        <w:ind w:firstLine="720"/>
        <w:jc w:val="center"/>
        <w:rPr/>
      </w:pPr>
    </w:p>
    <w:p>
      <w:pPr>
        <w:pStyle w:val="style0"/>
        <w:spacing w:after="0"/>
        <w:ind w:firstLine="720"/>
        <w:jc w:val="center"/>
        <w:rPr/>
      </w:pPr>
    </w:p>
    <w:p>
      <w:pPr>
        <w:pStyle w:val="style0"/>
        <w:spacing w:after="0"/>
        <w:ind w:firstLine="720"/>
        <w:jc w:val="center"/>
        <w:rPr/>
      </w:pPr>
    </w:p>
    <w:p>
      <w:pPr>
        <w:pStyle w:val="style0"/>
        <w:spacing w:after="0"/>
        <w:ind w:firstLine="720"/>
        <w:jc w:val="center"/>
        <w:rPr/>
      </w:pPr>
    </w:p>
    <w:p>
      <w:pPr>
        <w:pStyle w:val="style0"/>
        <w:spacing w:after="0"/>
        <w:jc w:val="center"/>
        <w:rPr/>
      </w:pPr>
      <w:r>
        <w:t xml:space="preserve"> </w:t>
      </w:r>
    </w:p>
    <w:p>
      <w:pPr>
        <w:pStyle w:val="style0"/>
        <w:spacing w:after="0" w:lineRule="auto" w:line="240"/>
        <w:rPr/>
      </w:pPr>
    </w:p>
    <w:p>
      <w:pPr>
        <w:pStyle w:val="style0"/>
        <w:spacing w:after="0" w:lineRule="auto" w:line="240"/>
        <w:rPr>
          <w:rFonts w:eastAsia="Times New Roman"/>
          <w:b/>
        </w:rPr>
      </w:pPr>
    </w:p>
    <w:p>
      <w:pPr>
        <w:pStyle w:val="style0"/>
        <w:spacing w:after="0"/>
        <w:jc w:val="center"/>
        <w:rPr/>
      </w:pPr>
      <w:r>
        <w:t>No Social Security Benefits for Prisoners Act of 2009</w:t>
      </w:r>
      <w:r>
        <w:t xml:space="preserve"> </w:t>
      </w:r>
    </w:p>
    <w:p>
      <w:pPr>
        <w:pStyle w:val="style179"/>
        <w:numPr>
          <w:ilvl w:val="0"/>
          <w:numId w:val="1"/>
        </w:numPr>
        <w:spacing w:after="0"/>
        <w:rPr/>
      </w:pPr>
      <w:r>
        <w:t>No Social Security Benefits for Prisoners Act of 2009</w:t>
      </w:r>
      <w:r>
        <w:t xml:space="preserve"> </w:t>
      </w:r>
      <w:r>
        <w:t xml:space="preserve">was into law in December 2019 by President Obama under Public Law 111-115. The bill forbids to conferment of retroactive Title II and Title XVI to three groups of individuals. The first group are persons serving their prison terms (SSA.gov, 2009). The second group is people who have violated the conditions set for their parole and probation. The last groups are individual escaping to avert prosecution for a crime or felony that can attract a sentence of one year. </w:t>
      </w:r>
    </w:p>
    <w:p>
      <w:pPr>
        <w:pStyle w:val="style179"/>
        <w:numPr>
          <w:ilvl w:val="0"/>
          <w:numId w:val="1"/>
        </w:numPr>
        <w:spacing w:after="0"/>
        <w:rPr/>
      </w:pPr>
      <w:r>
        <w:t>Social security is not all about making decisions on whether individuals should begin to claim benefits when they attain the retirement age. Social security covers myriad rules and regulations that govern all elements include death, disability, marriage, ad divorce.  No Social Security Benefits for Prisoners Act of 2009 controls payment of social security to prisoners, ex-convicts, and fugitives.</w:t>
      </w:r>
    </w:p>
    <w:p>
      <w:pPr>
        <w:pStyle w:val="style179"/>
        <w:numPr>
          <w:ilvl w:val="0"/>
          <w:numId w:val="1"/>
        </w:numPr>
        <w:spacing w:after="0"/>
        <w:rPr>
          <w:i/>
        </w:rPr>
      </w:pPr>
      <w:r>
        <w:t xml:space="preserve">Before 2009, the Courts have played around the issue of paying social security to prisoners. For example, in </w:t>
      </w:r>
      <w:r>
        <w:rPr>
          <w:i/>
        </w:rPr>
        <w:t>Butler v. Apfel</w:t>
      </w:r>
      <w:r>
        <w:rPr>
          <w:i/>
        </w:rPr>
        <w:t xml:space="preserve"> </w:t>
      </w:r>
      <w:r>
        <w:t>(1999)</w:t>
      </w:r>
      <w:r>
        <w:rPr>
          <w:i/>
        </w:rPr>
        <w:t xml:space="preserve">, </w:t>
      </w:r>
      <w:r>
        <w:t>a Ninth Circuit court, held that statute denying social security to prison. The ruling was affirmed by the Court of Appeal stating that law used to ban social security benefits did not breach any constitutional guarantees.</w:t>
      </w:r>
    </w:p>
    <w:p>
      <w:pPr>
        <w:pStyle w:val="style179"/>
        <w:numPr>
          <w:ilvl w:val="0"/>
          <w:numId w:val="1"/>
        </w:numPr>
        <w:spacing w:after="0"/>
        <w:rPr>
          <w:i/>
        </w:rPr>
      </w:pPr>
      <w:r>
        <w:t>The Social Security Benefits for Prisoners Act of 2009 was intended to control the behaviour of prisoners, those in parole or probation, and felony fugitives. It aimed at making prisoners serve their sentences, having in mind that they will not qualify for social security once they complete. It also encourages those under probation and parole to abide by the terms and conditions for them to receive payments.</w:t>
      </w:r>
    </w:p>
    <w:p>
      <w:pPr>
        <w:pStyle w:val="style179"/>
        <w:numPr>
          <w:ilvl w:val="0"/>
          <w:numId w:val="1"/>
        </w:numPr>
        <w:spacing w:after="0"/>
        <w:rPr>
          <w:i/>
        </w:rPr>
      </w:pPr>
      <w:r>
        <w:t xml:space="preserve"> It also urges felony fugitives to hand in themselves if they are to have any chances of winning social security in future.  </w:t>
      </w:r>
    </w:p>
    <w:p>
      <w:pPr>
        <w:pStyle w:val="style179"/>
        <w:numPr>
          <w:ilvl w:val="0"/>
          <w:numId w:val="1"/>
        </w:numPr>
        <w:spacing w:after="0"/>
        <w:rPr>
          <w:i/>
        </w:rPr>
      </w:pPr>
      <w:r>
        <w:t xml:space="preserve">The bill has not received much attention in the political circle, but activists have raised a few issues. For example, Sarenski (2009) believes that the social welfare bill is unfair.  That is, it is unjust someone who has worked their whole life, paid into Social Security, committed a crime at a later age, gets life imprisonment, and never receives even a part of the money. Prisoners have the needs for cash contrary to popular belief peddled by the government and those in support of the bill.  The author believes the social bill is a backdoor way of trimming social security rolls. </w:t>
      </w:r>
    </w:p>
    <w:p>
      <w:pPr>
        <w:pStyle w:val="style179"/>
        <w:numPr>
          <w:ilvl w:val="0"/>
          <w:numId w:val="1"/>
        </w:numPr>
        <w:spacing w:after="0"/>
        <w:rPr>
          <w:i/>
        </w:rPr>
      </w:pPr>
      <w:r>
        <w:t xml:space="preserve">A person who earned Social Security has a right to be reimbursed regardless of the situations. Denying a prisoner social security is tantamount to the government taking away what belonged to an individual because it does not like you. </w:t>
      </w:r>
    </w:p>
    <w:p>
      <w:pPr>
        <w:pStyle w:val="style179"/>
        <w:numPr>
          <w:ilvl w:val="0"/>
          <w:numId w:val="1"/>
        </w:numPr>
        <w:spacing w:after="0"/>
        <w:rPr/>
      </w:pPr>
      <w:r>
        <w:rPr>
          <w:rFonts w:eastAsia="Calibri"/>
          <w:color w:val="000000"/>
        </w:rPr>
        <w:t xml:space="preserve">As a professional working towards social justice, I would advocate for an </w:t>
      </w:r>
      <w:r>
        <w:rPr>
          <w:color w:val="000000"/>
        </w:rPr>
        <w:t xml:space="preserve">amendment of the </w:t>
      </w:r>
      <w:r>
        <w:t>No Social Security Benefits for Prisoners Act of 2009</w:t>
      </w:r>
      <w:r>
        <w:t xml:space="preserve"> </w:t>
      </w:r>
      <w:r>
        <w:t>to remove caps that deny prisoners on life imprisonment the right to receive social security. Unlike a person on parole or probation and a fugitive felon, a prisoner on life imprisonment has a small chance of ever having a healthy life. Denying him social security that he or she contributed is not only unfair to him but also his dependants. That is, the dependants are going to pay for a mistake they did not commit.</w:t>
      </w: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rPr/>
      </w:pPr>
    </w:p>
    <w:p>
      <w:pPr>
        <w:pStyle w:val="style0"/>
        <w:spacing w:after="0"/>
        <w:jc w:val="center"/>
        <w:rPr/>
      </w:pPr>
      <w:r>
        <w:t>References</w:t>
      </w:r>
    </w:p>
    <w:p>
      <w:pPr>
        <w:pStyle w:val="style0"/>
        <w:spacing w:after="0"/>
        <w:rPr/>
      </w:pPr>
      <w:r>
        <w:t xml:space="preserve"> Butler v. Apfel, 144 F.3d 622 (9th Cir. 1998).</w:t>
      </w:r>
    </w:p>
    <w:p>
      <w:pPr>
        <w:pStyle w:val="style0"/>
        <w:rPr/>
      </w:pPr>
      <w:r>
        <w:t xml:space="preserve">Sarenski, T. (2009). Committed a crime? You can kiss Social Security good-bye. CNBC. </w:t>
      </w:r>
    </w:p>
    <w:p>
      <w:pPr>
        <w:pStyle w:val="style0"/>
        <w:ind w:left="720"/>
        <w:rPr/>
      </w:pPr>
      <w:r>
        <w:t xml:space="preserve">Retrieved 26 February 2020, from </w:t>
      </w:r>
      <w:r>
        <w:rPr/>
        <w:fldChar w:fldCharType="begin"/>
      </w:r>
      <w:r>
        <w:instrText xml:space="preserve"> HYPERLINK "https://www.cnbc.com/2016/10/20/commited-a-crime-you-can-kiss-social-security-good-bye.html" </w:instrText>
      </w:r>
      <w:r>
        <w:rPr/>
        <w:fldChar w:fldCharType="separate"/>
      </w:r>
      <w:r>
        <w:rPr>
          <w:rStyle w:val="style85"/>
        </w:rPr>
        <w:t>https://www.cnbc.com/2016/10/20/commited-a-crime-you-can-kiss-social-security-good-bye.html</w:t>
      </w:r>
      <w:r>
        <w:rPr/>
        <w:fldChar w:fldCharType="end"/>
      </w:r>
      <w:r>
        <w:t>.</w:t>
      </w:r>
    </w:p>
    <w:p>
      <w:pPr>
        <w:pStyle w:val="style0"/>
        <w:rPr/>
      </w:pPr>
      <w:r>
        <w:t xml:space="preserve">SSA.gov. (2009). President Signs H.R. 4218, The “No Social Security Benefits for </w:t>
      </w:r>
    </w:p>
    <w:p>
      <w:pPr>
        <w:pStyle w:val="style0"/>
        <w:ind w:left="720"/>
        <w:rPr/>
      </w:pPr>
      <w:r>
        <w:t xml:space="preserve">Prisoners Act of 2009”. Ssa.gov. Retrieved 26 February 2020, from </w:t>
      </w:r>
      <w:r>
        <w:rPr/>
        <w:fldChar w:fldCharType="begin"/>
      </w:r>
      <w:r>
        <w:instrText xml:space="preserve"> HYPERLINK "https://www.ssa.gov/legislation/legis_bulletin_121509.html" </w:instrText>
      </w:r>
      <w:r>
        <w:rPr/>
        <w:fldChar w:fldCharType="separate"/>
      </w:r>
      <w:r>
        <w:rPr>
          <w:rStyle w:val="style85"/>
        </w:rPr>
        <w:t>https://www.ssa.gov/legislation/legis_bulletin_121509.html</w:t>
      </w:r>
      <w:r>
        <w:rPr/>
        <w:fldChar w:fldCharType="end"/>
      </w:r>
      <w:r>
        <w:t>.</w:t>
      </w:r>
    </w:p>
    <w:p>
      <w:pPr>
        <w:pStyle w:val="style0"/>
        <w:rPr/>
      </w:pPr>
    </w:p>
    <w:p>
      <w:pPr>
        <w:pStyle w:val="style0"/>
        <w:rPr/>
      </w:pPr>
    </w:p>
    <w:sectPr>
      <w:headerReference w:type="default" r:id="rId2"/>
      <w:headerReference w:type="first" r:id="rId3"/>
      <w:pgSz w:w="12240" w:h="15840" w:orient="portrait"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00000003" w:usb1="00000000" w:usb2="00000000" w:usb3="00000000" w:csb0="00000001"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r>
      <w:t>SOCIAL WELFARE LAW</w:t>
    </w:r>
    <w:r>
      <w:tab/>
    </w:r>
    <w:r>
      <w:tab/>
    </w:r>
    <w:r>
      <w:tab/>
    </w:r>
    <w:r>
      <w:tab/>
    </w:r>
    <w:r>
      <w:tab/>
    </w:r>
    <w:r>
      <w:tab/>
    </w:r>
    <w:r>
      <w:tab/>
    </w:r>
    <w:r>
      <w:tab/>
    </w:r>
    <w:r>
      <w:tab/>
    </w:r>
    <w:r>
      <w:t xml:space="preserve"> </w:t>
    </w:r>
    <w:r>
      <w:rPr/>
      <w:fldChar w:fldCharType="begin"/>
    </w:r>
    <w:r>
      <w:instrText xml:space="preserve"> PAGE   \* MERGEFORMAT </w:instrText>
    </w:r>
    <w:r>
      <w:rPr/>
      <w:fldChar w:fldCharType="separate"/>
    </w:r>
    <w:r>
      <w:rPr>
        <w:noProof/>
      </w:rPr>
      <w:t>3</w:t>
    </w:r>
    <w:r>
      <w:rPr/>
      <w:fldChar w:fldCharType="end"/>
    </w:r>
    <w:r>
      <w:tab/>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ind w:left="7920" w:firstLine="720"/>
      <w:rPr/>
    </w:pP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48900F9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hybridMultilevel"/>
    <w:tmpl w:val="46767874"/>
    <w:lvl w:ilvl="0" w:tplc="E7E29158">
      <w:start w:val="1"/>
      <w:numFmt w:val="bullet"/>
      <w:lvlText w:val="-"/>
      <w:lvlJc w:val="left"/>
      <w:pPr>
        <w:ind w:left="720" w:hanging="360"/>
      </w:pPr>
      <w:rPr>
        <w:rFonts w:ascii="Times New Roman" w:cs="Times New Roman" w:eastAsia="Calibri" w:hAnsi="Times New Roman"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7D48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25524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5DB2D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C702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4E6042A8"/>
    <w:lvl w:ilvl="0" w:tplc="726CF6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123276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0000008"/>
    <w:multiLevelType w:val="hybridMultilevel"/>
    <w:tmpl w:val="1BD66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multilevel"/>
    <w:tmpl w:val="4942E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0000000A"/>
    <w:multiLevelType w:val="hybridMultilevel"/>
    <w:tmpl w:val="810C3D1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000000B"/>
    <w:multiLevelType w:val="multilevel"/>
    <w:tmpl w:val="98BA995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2">
    <w:nsid w:val="0000000C"/>
    <w:multiLevelType w:val="hybridMultilevel"/>
    <w:tmpl w:val="C430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D"/>
    <w:multiLevelType w:val="hybridMultilevel"/>
    <w:tmpl w:val="846A49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000000E"/>
    <w:multiLevelType w:val="hybridMultilevel"/>
    <w:tmpl w:val="358A5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multilevel"/>
    <w:tmpl w:val="F6A2406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0D3AD59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multilevel"/>
    <w:tmpl w:val="9CA04588"/>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00000012"/>
    <w:multiLevelType w:val="multilevel"/>
    <w:tmpl w:val="F2EE46D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multilevel"/>
    <w:tmpl w:val="1BE80FE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0">
    <w:nsid w:val="00000014"/>
    <w:multiLevelType w:val="multilevel"/>
    <w:tmpl w:val="3E6AC8D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1">
    <w:nsid w:val="00000015"/>
    <w:multiLevelType w:val="multilevel"/>
    <w:tmpl w:val="3AD428D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hybridMultilevel"/>
    <w:tmpl w:val="936E464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F0AC750C"/>
    <w:lvl w:ilvl="0" w:tplc="84E834C0">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multilevel"/>
    <w:tmpl w:val="5C0239F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hybridMultilevel"/>
    <w:tmpl w:val="5078A3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000001A"/>
    <w:multiLevelType w:val="multilevel"/>
    <w:tmpl w:val="DD52421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multilevel"/>
    <w:tmpl w:val="35DCAEF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multilevel"/>
    <w:tmpl w:val="F386EC7A"/>
    <w:lvl w:ilvl="0">
      <w:start w:val="1"/>
      <w:numFmt w:val="decimal"/>
      <w:lvlText w:val="%1."/>
      <w:lvlJc w:val="left"/>
      <w:pPr>
        <w:tabs>
          <w:tab w:val="left" w:leader="none" w:pos="720"/>
        </w:tabs>
        <w:ind w:left="720" w:hanging="360"/>
      </w:pPr>
      <w:rPr>
        <w:rFonts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6"/>
  </w:num>
  <w:num w:numId="2">
    <w:abstractNumId w:val="28"/>
  </w:num>
  <w:num w:numId="3">
    <w:abstractNumId w:val="4"/>
  </w:num>
  <w:num w:numId="4">
    <w:abstractNumId w:val="5"/>
  </w:num>
  <w:num w:numId="5">
    <w:abstractNumId w:val="9"/>
  </w:num>
  <w:num w:numId="6">
    <w:abstractNumId w:val="8"/>
  </w:num>
  <w:num w:numId="7">
    <w:abstractNumId w:val="17"/>
  </w:num>
  <w:num w:numId="8">
    <w:abstractNumId w:val="14"/>
  </w:num>
  <w:num w:numId="9">
    <w:abstractNumId w:val="25"/>
  </w:num>
  <w:num w:numId="10">
    <w:abstractNumId w:val="22"/>
  </w:num>
  <w:num w:numId="11">
    <w:abstractNumId w:val="13"/>
  </w:num>
  <w:num w:numId="12">
    <w:abstractNumId w:val="2"/>
  </w:num>
  <w:num w:numId="13">
    <w:abstractNumId w:val="12"/>
  </w:num>
  <w:num w:numId="14">
    <w:abstractNumId w:val="10"/>
  </w:num>
  <w:num w:numId="15">
    <w:abstractNumId w:val="7"/>
  </w:num>
  <w:num w:numId="16">
    <w:abstractNumId w:val="1"/>
  </w:num>
  <w:num w:numId="17">
    <w:abstractNumId w:val="23"/>
  </w:num>
  <w:num w:numId="18">
    <w:abstractNumId w:val="20"/>
  </w:num>
  <w:num w:numId="19">
    <w:abstractNumId w:val="16"/>
  </w:num>
  <w:num w:numId="20">
    <w:abstractNumId w:val="0"/>
  </w:num>
  <w:num w:numId="21">
    <w:abstractNumId w:val="26"/>
  </w:num>
  <w:num w:numId="22">
    <w:abstractNumId w:val="19"/>
  </w:num>
  <w:num w:numId="23">
    <w:abstractNumId w:val="18"/>
  </w:num>
  <w:num w:numId="24">
    <w:abstractNumId w:val="21"/>
  </w:num>
  <w:num w:numId="25">
    <w:abstractNumId w:val="24"/>
  </w:num>
  <w:num w:numId="26">
    <w:abstractNumId w:val="15"/>
  </w:num>
  <w:num w:numId="27">
    <w:abstractNumId w:val="11"/>
  </w:num>
  <w:num w:numId="28">
    <w:abstractNumId w:val="27"/>
  </w:num>
  <w:num w:numId="29">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20"/>
  <w:displayHorizontalDrawingGridEvery w:val="2"/>
  <w:characterSpacingControl w:val="doNotCompress"/>
  <w:savePreviewPicture/>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480"/>
    </w:pPr>
    <w:rPr>
      <w:rFonts w:ascii="Times New Roman" w:cs="Times New Roman" w:hAnsi="Times New Roman"/>
      <w:sz w:val="24"/>
      <w:szCs w:val="24"/>
    </w:r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eastAsia="Times New Roman"/>
      <w:b/>
      <w:bCs/>
      <w:kern w:val="36"/>
      <w:sz w:val="48"/>
      <w:szCs w:val="48"/>
    </w:rPr>
  </w:style>
  <w:style w:type="paragraph" w:styleId="style2">
    <w:name w:val="heading 2"/>
    <w:basedOn w:val="style0"/>
    <w:next w:val="style0"/>
    <w:link w:val="style4102"/>
    <w:qFormat/>
    <w:uiPriority w:val="9"/>
    <w:pPr>
      <w:keepNext/>
      <w:keepLines/>
      <w:spacing w:before="200" w:after="0"/>
      <w:outlineLvl w:val="1"/>
    </w:pPr>
    <w:rPr>
      <w:rFonts w:ascii="Cambria" w:cs="宋体" w:eastAsia="宋体" w:hAnsi="Cambria"/>
      <w:b/>
      <w:bCs/>
      <w:color w:val="4f81bd"/>
      <w:sz w:val="26"/>
      <w:szCs w:val="26"/>
    </w:rPr>
  </w:style>
  <w:style w:type="paragraph" w:styleId="style4">
    <w:name w:val="heading 4"/>
    <w:basedOn w:val="style0"/>
    <w:next w:val="style0"/>
    <w:link w:val="style4103"/>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7a52a71-4ab3-4f46-b2de-95022ac0747d"/>
    <w:basedOn w:val="style65"/>
    <w:next w:val="style4097"/>
    <w:link w:val="style1"/>
    <w:uiPriority w:val="9"/>
    <w:rPr>
      <w:rFonts w:ascii="Times New Roman" w:cs="Times New Roman" w:eastAsia="Times New Roman" w:hAnsi="Times New Roman"/>
      <w:b/>
      <w:bCs/>
      <w:kern w:val="36"/>
      <w:sz w:val="48"/>
      <w:szCs w:val="48"/>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adb0c8cf-4eb1-4ec2-9fb3-781488cfbe94"/>
    <w:basedOn w:val="style65"/>
    <w:next w:val="style4098"/>
    <w:link w:val="style31"/>
    <w:uiPriority w:val="99"/>
  </w:style>
  <w:style w:type="character" w:customStyle="1" w:styleId="style4099">
    <w:name w:val="selectable"/>
    <w:basedOn w:val="style65"/>
    <w:next w:val="style4099"/>
  </w:style>
  <w:style w:type="character" w:customStyle="1" w:styleId="style4100">
    <w:name w:val="short-url"/>
    <w:basedOn w:val="style65"/>
    <w:next w:val="style4100"/>
  </w:style>
  <w:style w:type="character" w:styleId="style85">
    <w:name w:val="Hyperlink"/>
    <w:basedOn w:val="style65"/>
    <w:next w:val="style85"/>
    <w:uiPriority w:val="99"/>
    <w:rPr>
      <w:color w:val="0000ff"/>
      <w:u w:val="single"/>
    </w:rPr>
  </w:style>
  <w:style w:type="paragraph" w:styleId="style32">
    <w:name w:val="footer"/>
    <w:basedOn w:val="style0"/>
    <w:next w:val="style32"/>
    <w:link w:val="style4101"/>
    <w:uiPriority w:val="99"/>
    <w:pPr>
      <w:tabs>
        <w:tab w:val="center" w:leader="none" w:pos="4680"/>
        <w:tab w:val="right" w:leader="none" w:pos="9360"/>
      </w:tabs>
      <w:spacing w:after="0" w:lineRule="auto" w:line="240"/>
    </w:pPr>
    <w:rPr/>
  </w:style>
  <w:style w:type="character" w:customStyle="1" w:styleId="style4101">
    <w:name w:val="Footer Char_edf6d3c6-9e20-45e0-82b8-36e4bc2d57db"/>
    <w:basedOn w:val="style65"/>
    <w:next w:val="style4101"/>
    <w:link w:val="style32"/>
    <w:uiPriority w:val="99"/>
  </w:style>
  <w:style w:type="character" w:styleId="style88">
    <w:name w:val="Emphasis"/>
    <w:basedOn w:val="style65"/>
    <w:next w:val="style88"/>
    <w:qFormat/>
    <w:uiPriority w:val="20"/>
    <w:rPr>
      <w:i/>
      <w:iCs/>
    </w:rPr>
  </w:style>
  <w:style w:type="character" w:styleId="style86">
    <w:name w:val="FollowedHyperlink"/>
    <w:basedOn w:val="style65"/>
    <w:next w:val="style86"/>
    <w:uiPriority w:val="99"/>
    <w:rPr>
      <w:color w:val="800080"/>
      <w:u w:val="single"/>
    </w:rPr>
  </w:style>
  <w:style w:type="paragraph" w:styleId="style157">
    <w:name w:val="No Spacing"/>
    <w:next w:val="style157"/>
    <w:qFormat/>
    <w:uiPriority w:val="1"/>
    <w:pPr>
      <w:spacing w:after="0" w:lineRule="auto" w:line="240"/>
    </w:pPr>
    <w:rPr>
      <w:rFonts w:ascii="Calibri" w:cs="Times New Roman" w:eastAsia="Times New Roman" w:hAnsi="Calibri"/>
      <w:lang w:bidi="en-US"/>
    </w:rPr>
  </w:style>
  <w:style w:type="character" w:styleId="style38">
    <w:name w:val="footnote reference"/>
    <w:next w:val="style38"/>
    <w:rPr>
      <w:vertAlign w:val="superscript"/>
    </w:rPr>
  </w:style>
  <w:style w:type="paragraph" w:styleId="style179">
    <w:name w:val="List Paragraph"/>
    <w:basedOn w:val="style0"/>
    <w:next w:val="style179"/>
    <w:qFormat/>
    <w:uiPriority w:val="34"/>
    <w:pPr>
      <w:ind w:left="720"/>
      <w:contextualSpacing/>
    </w:pPr>
    <w:rPr/>
  </w:style>
  <w:style w:type="character" w:customStyle="1" w:styleId="style4102">
    <w:name w:val="Heading 2 Char_d9aefbce-f905-43f2-8ee7-5fd8e6d18968"/>
    <w:basedOn w:val="style65"/>
    <w:next w:val="style4102"/>
    <w:link w:val="style2"/>
    <w:uiPriority w:val="9"/>
    <w:rPr>
      <w:rFonts w:ascii="Cambria" w:cs="宋体" w:eastAsia="宋体" w:hAnsi="Cambria"/>
      <w:b/>
      <w:bCs/>
      <w:color w:val="4f81bd"/>
      <w:sz w:val="26"/>
      <w:szCs w:val="26"/>
    </w:rPr>
  </w:style>
  <w:style w:type="character" w:customStyle="1" w:styleId="style4103">
    <w:name w:val="Heading 4 Char_2bc52749-e384-48fb-8ed4-c214921bef53"/>
    <w:basedOn w:val="style65"/>
    <w:next w:val="style4103"/>
    <w:link w:val="style4"/>
    <w:uiPriority w:val="9"/>
    <w:rPr>
      <w:rFonts w:ascii="Cambria" w:cs="宋体" w:eastAsia="宋体" w:hAnsi="Cambria"/>
      <w:b/>
      <w:bCs/>
      <w:i/>
      <w:iCs/>
      <w:color w:val="4f81bd"/>
      <w:sz w:val="24"/>
      <w:szCs w:val="24"/>
    </w:rPr>
  </w:style>
  <w:style w:type="paragraph" w:styleId="style153">
    <w:name w:val="Balloon Text"/>
    <w:basedOn w:val="style0"/>
    <w:next w:val="style153"/>
    <w:link w:val="style4104"/>
    <w:uiPriority w:val="99"/>
    <w:pPr>
      <w:spacing w:after="0" w:lineRule="auto" w:line="240"/>
    </w:pPr>
    <w:rPr>
      <w:rFonts w:ascii="Tahoma" w:cs="Tahoma" w:hAnsi="Tahoma"/>
      <w:sz w:val="16"/>
      <w:szCs w:val="16"/>
    </w:rPr>
  </w:style>
  <w:style w:type="character" w:customStyle="1" w:styleId="style4104">
    <w:name w:val="Balloon Text Char"/>
    <w:basedOn w:val="style65"/>
    <w:next w:val="style4104"/>
    <w:link w:val="style153"/>
    <w:uiPriority w:val="99"/>
    <w:rPr>
      <w:rFonts w:ascii="Tahoma" w:cs="Tahoma" w:hAnsi="Tahoma"/>
      <w:sz w:val="16"/>
      <w:szCs w:val="16"/>
    </w:rPr>
  </w:style>
  <w:style w:type="character" w:customStyle="1" w:styleId="style4105">
    <w:name w:val="tl8wme"/>
    <w:basedOn w:val="style65"/>
    <w:next w:val="style4105"/>
  </w:style>
  <w:style w:type="character" w:customStyle="1" w:styleId="style4106">
    <w:name w:val="m_6971780875659772453gmail-tl8wme"/>
    <w:basedOn w:val="style65"/>
    <w:next w:val="style4106"/>
  </w:style>
  <w:style w:type="paragraph" w:styleId="style94">
    <w:name w:val="Normal (Web)"/>
    <w:basedOn w:val="style0"/>
    <w:next w:val="style94"/>
    <w:uiPriority w:val="99"/>
    <w:pPr>
      <w:spacing w:before="100" w:beforeAutospacing="true" w:after="100" w:afterAutospacing="true" w:lineRule="auto" w:line="240"/>
    </w:pPr>
    <w:rPr>
      <w:rFonts w:eastAsia="宋体"/>
    </w:rPr>
  </w:style>
  <w:style w:type="character" w:customStyle="1" w:styleId="style4107">
    <w:name w:val="m_-9097268300206312553m_7559659669746319862gmail-word-breaker"/>
    <w:basedOn w:val="style65"/>
    <w:next w:val="style4107"/>
  </w:style>
  <w:style w:type="character" w:customStyle="1" w:styleId="style4108">
    <w:name w:val="_5yl5"/>
    <w:basedOn w:val="style65"/>
    <w:next w:val="style4108"/>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B6753-77AB-4137-A2F7-708A8809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Words>620</Words>
  <Pages>4</Pages>
  <Characters>3290</Characters>
  <Application>WPS Office</Application>
  <DocSecurity>0</DocSecurity>
  <Paragraphs>51</Paragraphs>
  <ScaleCrop>false</ScaleCrop>
  <LinksUpToDate>false</LinksUpToDate>
  <CharactersWithSpaces>3911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2020-02-26T23:21:00Z</dcterms:created>
  <dc:creator>Comp 1</dc:creator>
  <lastModifiedBy>JKM-LX1</lastModifiedBy>
  <dcterms:modified xsi:type="dcterms:W3CDTF">2020-02-27T17:44:12Z</dcterms:modified>
  <revision>4</revision>
</coreProperties>
</file>

<file path=docProps/custom.xml><?xml version="1.0" encoding="utf-8"?>
<Properties xmlns="http://schemas.openxmlformats.org/officeDocument/2006/custom-properties" xmlns:vt="http://schemas.openxmlformats.org/officeDocument/2006/docPropsVTypes"/>
</file>