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285" w:rsidRPr="00A11311" w:rsidRDefault="00632285" w:rsidP="00632285">
      <w:pPr>
        <w:jc w:val="center"/>
        <w:rPr>
          <w:rFonts w:ascii="Times New Roman" w:hAnsi="Times New Roman" w:cs="Times New Roman"/>
          <w:b/>
          <w:highlight w:val="yellow"/>
        </w:rPr>
      </w:pPr>
      <w:r w:rsidRPr="00A11311">
        <w:rPr>
          <w:rFonts w:ascii="Times New Roman" w:hAnsi="Times New Roman" w:cs="Times New Roman"/>
          <w:b/>
          <w:highlight w:val="yellow"/>
        </w:rPr>
        <w:t>The Impact of Toxicological Evidence in Sexual Assault Investigations</w:t>
      </w:r>
    </w:p>
    <w:p w:rsidR="006D48E9" w:rsidRPr="00A11311" w:rsidRDefault="006D48E9" w:rsidP="006D48E9">
      <w:pPr>
        <w:rPr>
          <w:rFonts w:ascii="Times New Roman" w:hAnsi="Times New Roman" w:cs="Times New Roman"/>
          <w:b/>
        </w:rPr>
      </w:pPr>
      <w:r w:rsidRPr="00A11311">
        <w:rPr>
          <w:rFonts w:ascii="Times New Roman" w:hAnsi="Times New Roman" w:cs="Times New Roman"/>
          <w:b/>
          <w:highlight w:val="yellow"/>
        </w:rPr>
        <w:t>Introduction</w:t>
      </w:r>
    </w:p>
    <w:p w:rsidR="006D48E9" w:rsidRPr="00A11311" w:rsidRDefault="006D48E9" w:rsidP="006D48E9">
      <w:pPr>
        <w:rPr>
          <w:rFonts w:ascii="Times New Roman" w:hAnsi="Times New Roman" w:cs="Times New Roman"/>
        </w:rPr>
      </w:pPr>
      <w:r w:rsidRPr="00A11311">
        <w:rPr>
          <w:rFonts w:ascii="Times New Roman" w:hAnsi="Times New Roman" w:cs="Times New Roman"/>
        </w:rPr>
        <w:t xml:space="preserve">Toxicological tests are used to determine the presence or the absence of drugs and other toxic substances in an individuals’ body. Biological matrices such as blood, urine and hair are used to perform the tests. Toxicological tests help detect the level of concentration of the drugs in the body.  Toxicological evidence provides information that help to make judgments in sexually assaulted cases through what is known as drug-facilitated sexual assault. Drugs and toxic substances alter a persons’ ability to make decisions to consent to the sexual activity in the cases of DFSA. </w:t>
      </w:r>
    </w:p>
    <w:p w:rsidR="001E6B5C" w:rsidRPr="00A11311" w:rsidRDefault="008F0B03" w:rsidP="005E5E49">
      <w:pPr>
        <w:jc w:val="both"/>
        <w:rPr>
          <w:rFonts w:ascii="Times New Roman" w:hAnsi="Times New Roman" w:cs="Times New Roman"/>
          <w:b/>
        </w:rPr>
      </w:pPr>
      <w:r w:rsidRPr="00A11311">
        <w:rPr>
          <w:rFonts w:ascii="Times New Roman" w:hAnsi="Times New Roman" w:cs="Times New Roman"/>
          <w:b/>
          <w:highlight w:val="yellow"/>
        </w:rPr>
        <w:t>Objectives</w:t>
      </w:r>
    </w:p>
    <w:p w:rsidR="008F0B03" w:rsidRPr="00A11311" w:rsidRDefault="005E5E49" w:rsidP="005E5E49">
      <w:pPr>
        <w:jc w:val="both"/>
        <w:rPr>
          <w:rFonts w:ascii="Times New Roman" w:hAnsi="Times New Roman" w:cs="Times New Roman"/>
        </w:rPr>
      </w:pPr>
      <w:r w:rsidRPr="00A11311">
        <w:rPr>
          <w:rFonts w:ascii="Times New Roman" w:hAnsi="Times New Roman" w:cs="Times New Roman"/>
        </w:rPr>
        <w:t>This study seeks to: give the overview of toxicological testing techniques applied to detect drugs and toxins in urine, blood and in hair samples, to identify the limitations and advancements in toxicological tests and to demonstrate the impact of the toxicological evidence in sexual assault investigations</w:t>
      </w:r>
    </w:p>
    <w:p w:rsidR="004813CE" w:rsidRPr="00A11311" w:rsidRDefault="004813CE" w:rsidP="004813CE">
      <w:pPr>
        <w:jc w:val="both"/>
        <w:rPr>
          <w:rFonts w:ascii="Times New Roman" w:hAnsi="Times New Roman" w:cs="Times New Roman"/>
          <w:b/>
        </w:rPr>
      </w:pPr>
      <w:r w:rsidRPr="00A11311">
        <w:rPr>
          <w:rFonts w:ascii="Times New Roman" w:hAnsi="Times New Roman" w:cs="Times New Roman"/>
          <w:b/>
          <w:highlight w:val="yellow"/>
        </w:rPr>
        <w:t>Methods</w:t>
      </w:r>
    </w:p>
    <w:p w:rsidR="004813CE" w:rsidRPr="00A11311" w:rsidRDefault="004813CE" w:rsidP="004813CE">
      <w:pPr>
        <w:jc w:val="both"/>
        <w:rPr>
          <w:rFonts w:ascii="Times New Roman" w:hAnsi="Times New Roman" w:cs="Times New Roman"/>
        </w:rPr>
      </w:pPr>
      <w:r w:rsidRPr="00A11311">
        <w:rPr>
          <w:rFonts w:ascii="Times New Roman" w:hAnsi="Times New Roman" w:cs="Times New Roman"/>
        </w:rPr>
        <w:t xml:space="preserve">Blood, urine and hair samples are collected by forensic nurses or medical professionals for laboratory examination. The samples are send to forensic laboratory for screening using methods such as immunoassays, liquid or gas chromatography-mass spectrometry and colorimetric assays. Immunoassays methods are less sensitive and are therefore cautioned since the concentration of drugs in DFSA are very low due to late reporting. </w:t>
      </w:r>
    </w:p>
    <w:p w:rsidR="007A68AA" w:rsidRPr="00A11311" w:rsidRDefault="007A68AA" w:rsidP="004813CE">
      <w:pPr>
        <w:jc w:val="both"/>
        <w:rPr>
          <w:rFonts w:ascii="Times New Roman" w:hAnsi="Times New Roman" w:cs="Times New Roman"/>
          <w:b/>
        </w:rPr>
      </w:pPr>
      <w:r w:rsidRPr="00A11311">
        <w:rPr>
          <w:rFonts w:ascii="Times New Roman" w:hAnsi="Times New Roman" w:cs="Times New Roman"/>
          <w:b/>
          <w:highlight w:val="yellow"/>
        </w:rPr>
        <w:t>Analysis</w:t>
      </w:r>
    </w:p>
    <w:p w:rsidR="00632285" w:rsidRPr="00A11311" w:rsidRDefault="00E318BF" w:rsidP="007A68AA">
      <w:pPr>
        <w:jc w:val="both"/>
        <w:rPr>
          <w:rFonts w:ascii="Times New Roman" w:hAnsi="Times New Roman" w:cs="Times New Roman"/>
        </w:rPr>
      </w:pPr>
      <w:r w:rsidRPr="00A11311">
        <w:rPr>
          <w:rFonts w:ascii="Times New Roman" w:hAnsi="Times New Roman" w:cs="Times New Roman"/>
        </w:rPr>
        <w:t xml:space="preserve">A number of factors are considered for the analysis of DFSA substances. These include sample collection, preservation and preparation.  Other factors include the speed of analysis, </w:t>
      </w:r>
      <w:bookmarkStart w:id="0" w:name="_GoBack"/>
      <w:bookmarkEnd w:id="0"/>
    </w:p>
    <w:p w:rsidR="00632285" w:rsidRPr="00A11311" w:rsidRDefault="00632285" w:rsidP="007A68AA">
      <w:pPr>
        <w:jc w:val="both"/>
        <w:rPr>
          <w:rFonts w:ascii="Times New Roman" w:hAnsi="Times New Roman" w:cs="Times New Roman"/>
        </w:rPr>
      </w:pPr>
    </w:p>
    <w:p w:rsidR="00632285" w:rsidRPr="00A11311" w:rsidRDefault="00632285" w:rsidP="007A68AA">
      <w:pPr>
        <w:jc w:val="both"/>
        <w:rPr>
          <w:rFonts w:ascii="Times New Roman" w:hAnsi="Times New Roman" w:cs="Times New Roman"/>
        </w:rPr>
      </w:pPr>
    </w:p>
    <w:p w:rsidR="00ED662E" w:rsidRPr="00A11311" w:rsidRDefault="00A11311" w:rsidP="007A68AA">
      <w:pPr>
        <w:jc w:val="both"/>
        <w:rPr>
          <w:rFonts w:ascii="Times New Roman" w:hAnsi="Times New Roman" w:cs="Times New Roman"/>
        </w:rPr>
      </w:pPr>
      <w:r w:rsidRPr="00A11311">
        <w:rPr>
          <w:rFonts w:ascii="Times New Roman" w:hAnsi="Times New Roman" w:cs="Times New Roman"/>
        </w:rPr>
        <w:t>Stability</w:t>
      </w:r>
      <w:r w:rsidR="00E318BF" w:rsidRPr="00A11311">
        <w:rPr>
          <w:rFonts w:ascii="Times New Roman" w:hAnsi="Times New Roman" w:cs="Times New Roman"/>
        </w:rPr>
        <w:t xml:space="preserve"> of the drug, analytical methodology and equipment sensitivity and specificity. After the sample screening for the presence of drugs and toxins, the confirmation testing follows. Methods used for confirming and quantifying for the presence of substances include LC-MS and GC-MS. The methods are used to determine the concentration levels present at the time the sample was collected. Before analysis is done, analytes are extracted from the samples through techniques such as solid-phase extraction (SPE) and liquid-liquid extraction (LLE). The prepared sample is used to concentrate the analytes before analysis is done. The forensic toxicologist interprets the results and then reports the findings</w:t>
      </w:r>
    </w:p>
    <w:p w:rsidR="000E0FE8" w:rsidRPr="00A11311" w:rsidRDefault="000E0FE8" w:rsidP="007A68AA">
      <w:pPr>
        <w:jc w:val="both"/>
        <w:rPr>
          <w:rFonts w:ascii="Times New Roman" w:hAnsi="Times New Roman" w:cs="Times New Roman"/>
          <w:b/>
        </w:rPr>
      </w:pPr>
      <w:r w:rsidRPr="00A11311">
        <w:rPr>
          <w:rFonts w:ascii="Times New Roman" w:hAnsi="Times New Roman" w:cs="Times New Roman"/>
          <w:b/>
          <w:highlight w:val="yellow"/>
        </w:rPr>
        <w:t>Conclusion</w:t>
      </w:r>
      <w:r w:rsidRPr="00A11311">
        <w:rPr>
          <w:rFonts w:ascii="Times New Roman" w:hAnsi="Times New Roman" w:cs="Times New Roman"/>
          <w:b/>
        </w:rPr>
        <w:t xml:space="preserve"> </w:t>
      </w:r>
    </w:p>
    <w:p w:rsidR="00ED662E" w:rsidRPr="00A11311" w:rsidRDefault="00E318BF" w:rsidP="000E0FE8">
      <w:pPr>
        <w:jc w:val="both"/>
        <w:rPr>
          <w:rFonts w:ascii="Times New Roman" w:hAnsi="Times New Roman" w:cs="Times New Roman"/>
        </w:rPr>
      </w:pPr>
      <w:r w:rsidRPr="00A11311">
        <w:rPr>
          <w:rFonts w:ascii="Times New Roman" w:hAnsi="Times New Roman" w:cs="Times New Roman"/>
        </w:rPr>
        <w:t>The analysis of DFSA evidence may be limited by several issues. Delayed investigation may challenge timely analysis of some substances and the interpretation of results. Early reporting and sample collection are encouraged for true conclusions. Investigators, prosecutors, victims and the concerned persons must understand that negative toxicology results does not mean that no exposure occurred. There is need for further research to develop accurate, cost-effective, rapid and reliable methods for identification, analysis and interpretation for drug presence.  Forensic toxicology is important in investigations to understand the contribution of drugs and other toxic substances to sexual assault cases</w:t>
      </w:r>
    </w:p>
    <w:p w:rsidR="000E0FE8" w:rsidRPr="00A11311" w:rsidRDefault="000E0FE8" w:rsidP="007A68AA">
      <w:pPr>
        <w:jc w:val="both"/>
        <w:rPr>
          <w:rFonts w:ascii="Times New Roman" w:hAnsi="Times New Roman" w:cs="Times New Roman"/>
        </w:rPr>
      </w:pPr>
    </w:p>
    <w:p w:rsidR="005E5E49" w:rsidRPr="00A11311" w:rsidRDefault="005E5E49" w:rsidP="005E5E49">
      <w:pPr>
        <w:jc w:val="both"/>
        <w:rPr>
          <w:rFonts w:ascii="Times New Roman" w:hAnsi="Times New Roman" w:cs="Times New Roman"/>
        </w:rPr>
      </w:pPr>
    </w:p>
    <w:sectPr w:rsidR="005E5E49" w:rsidRPr="00A11311" w:rsidSect="006D48E9">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677B8C"/>
    <w:multiLevelType w:val="hybridMultilevel"/>
    <w:tmpl w:val="1220AC78"/>
    <w:lvl w:ilvl="0" w:tplc="08B42478">
      <w:start w:val="1"/>
      <w:numFmt w:val="bullet"/>
      <w:lvlText w:val="•"/>
      <w:lvlJc w:val="left"/>
      <w:pPr>
        <w:tabs>
          <w:tab w:val="num" w:pos="720"/>
        </w:tabs>
        <w:ind w:left="720" w:hanging="360"/>
      </w:pPr>
      <w:rPr>
        <w:rFonts w:ascii="Arial" w:hAnsi="Arial" w:hint="default"/>
      </w:rPr>
    </w:lvl>
    <w:lvl w:ilvl="1" w:tplc="98462ECE" w:tentative="1">
      <w:start w:val="1"/>
      <w:numFmt w:val="bullet"/>
      <w:lvlText w:val="•"/>
      <w:lvlJc w:val="left"/>
      <w:pPr>
        <w:tabs>
          <w:tab w:val="num" w:pos="1440"/>
        </w:tabs>
        <w:ind w:left="1440" w:hanging="360"/>
      </w:pPr>
      <w:rPr>
        <w:rFonts w:ascii="Arial" w:hAnsi="Arial" w:hint="default"/>
      </w:rPr>
    </w:lvl>
    <w:lvl w:ilvl="2" w:tplc="142052D4" w:tentative="1">
      <w:start w:val="1"/>
      <w:numFmt w:val="bullet"/>
      <w:lvlText w:val="•"/>
      <w:lvlJc w:val="left"/>
      <w:pPr>
        <w:tabs>
          <w:tab w:val="num" w:pos="2160"/>
        </w:tabs>
        <w:ind w:left="2160" w:hanging="360"/>
      </w:pPr>
      <w:rPr>
        <w:rFonts w:ascii="Arial" w:hAnsi="Arial" w:hint="default"/>
      </w:rPr>
    </w:lvl>
    <w:lvl w:ilvl="3" w:tplc="F0C2F626" w:tentative="1">
      <w:start w:val="1"/>
      <w:numFmt w:val="bullet"/>
      <w:lvlText w:val="•"/>
      <w:lvlJc w:val="left"/>
      <w:pPr>
        <w:tabs>
          <w:tab w:val="num" w:pos="2880"/>
        </w:tabs>
        <w:ind w:left="2880" w:hanging="360"/>
      </w:pPr>
      <w:rPr>
        <w:rFonts w:ascii="Arial" w:hAnsi="Arial" w:hint="default"/>
      </w:rPr>
    </w:lvl>
    <w:lvl w:ilvl="4" w:tplc="B93836BC" w:tentative="1">
      <w:start w:val="1"/>
      <w:numFmt w:val="bullet"/>
      <w:lvlText w:val="•"/>
      <w:lvlJc w:val="left"/>
      <w:pPr>
        <w:tabs>
          <w:tab w:val="num" w:pos="3600"/>
        </w:tabs>
        <w:ind w:left="3600" w:hanging="360"/>
      </w:pPr>
      <w:rPr>
        <w:rFonts w:ascii="Arial" w:hAnsi="Arial" w:hint="default"/>
      </w:rPr>
    </w:lvl>
    <w:lvl w:ilvl="5" w:tplc="1B26FA2E" w:tentative="1">
      <w:start w:val="1"/>
      <w:numFmt w:val="bullet"/>
      <w:lvlText w:val="•"/>
      <w:lvlJc w:val="left"/>
      <w:pPr>
        <w:tabs>
          <w:tab w:val="num" w:pos="4320"/>
        </w:tabs>
        <w:ind w:left="4320" w:hanging="360"/>
      </w:pPr>
      <w:rPr>
        <w:rFonts w:ascii="Arial" w:hAnsi="Arial" w:hint="default"/>
      </w:rPr>
    </w:lvl>
    <w:lvl w:ilvl="6" w:tplc="464C5894" w:tentative="1">
      <w:start w:val="1"/>
      <w:numFmt w:val="bullet"/>
      <w:lvlText w:val="•"/>
      <w:lvlJc w:val="left"/>
      <w:pPr>
        <w:tabs>
          <w:tab w:val="num" w:pos="5040"/>
        </w:tabs>
        <w:ind w:left="5040" w:hanging="360"/>
      </w:pPr>
      <w:rPr>
        <w:rFonts w:ascii="Arial" w:hAnsi="Arial" w:hint="default"/>
      </w:rPr>
    </w:lvl>
    <w:lvl w:ilvl="7" w:tplc="9E86F0E6" w:tentative="1">
      <w:start w:val="1"/>
      <w:numFmt w:val="bullet"/>
      <w:lvlText w:val="•"/>
      <w:lvlJc w:val="left"/>
      <w:pPr>
        <w:tabs>
          <w:tab w:val="num" w:pos="5760"/>
        </w:tabs>
        <w:ind w:left="5760" w:hanging="360"/>
      </w:pPr>
      <w:rPr>
        <w:rFonts w:ascii="Arial" w:hAnsi="Arial" w:hint="default"/>
      </w:rPr>
    </w:lvl>
    <w:lvl w:ilvl="8" w:tplc="324E474A" w:tentative="1">
      <w:start w:val="1"/>
      <w:numFmt w:val="bullet"/>
      <w:lvlText w:val="•"/>
      <w:lvlJc w:val="left"/>
      <w:pPr>
        <w:tabs>
          <w:tab w:val="num" w:pos="6480"/>
        </w:tabs>
        <w:ind w:left="6480" w:hanging="360"/>
      </w:pPr>
      <w:rPr>
        <w:rFonts w:ascii="Arial" w:hAnsi="Arial" w:hint="default"/>
      </w:rPr>
    </w:lvl>
  </w:abstractNum>
  <w:abstractNum w:abstractNumId="1">
    <w:nsid w:val="4CB16BFE"/>
    <w:multiLevelType w:val="hybridMultilevel"/>
    <w:tmpl w:val="56E64AA8"/>
    <w:lvl w:ilvl="0" w:tplc="9E328DD0">
      <w:start w:val="1"/>
      <w:numFmt w:val="bullet"/>
      <w:lvlText w:val="•"/>
      <w:lvlJc w:val="left"/>
      <w:pPr>
        <w:tabs>
          <w:tab w:val="num" w:pos="720"/>
        </w:tabs>
        <w:ind w:left="720" w:hanging="360"/>
      </w:pPr>
      <w:rPr>
        <w:rFonts w:ascii="Arial" w:hAnsi="Arial" w:hint="default"/>
      </w:rPr>
    </w:lvl>
    <w:lvl w:ilvl="1" w:tplc="FDC4FDDA" w:tentative="1">
      <w:start w:val="1"/>
      <w:numFmt w:val="bullet"/>
      <w:lvlText w:val="•"/>
      <w:lvlJc w:val="left"/>
      <w:pPr>
        <w:tabs>
          <w:tab w:val="num" w:pos="1440"/>
        </w:tabs>
        <w:ind w:left="1440" w:hanging="360"/>
      </w:pPr>
      <w:rPr>
        <w:rFonts w:ascii="Arial" w:hAnsi="Arial" w:hint="default"/>
      </w:rPr>
    </w:lvl>
    <w:lvl w:ilvl="2" w:tplc="5998B548" w:tentative="1">
      <w:start w:val="1"/>
      <w:numFmt w:val="bullet"/>
      <w:lvlText w:val="•"/>
      <w:lvlJc w:val="left"/>
      <w:pPr>
        <w:tabs>
          <w:tab w:val="num" w:pos="2160"/>
        </w:tabs>
        <w:ind w:left="2160" w:hanging="360"/>
      </w:pPr>
      <w:rPr>
        <w:rFonts w:ascii="Arial" w:hAnsi="Arial" w:hint="default"/>
      </w:rPr>
    </w:lvl>
    <w:lvl w:ilvl="3" w:tplc="1BD8A806" w:tentative="1">
      <w:start w:val="1"/>
      <w:numFmt w:val="bullet"/>
      <w:lvlText w:val="•"/>
      <w:lvlJc w:val="left"/>
      <w:pPr>
        <w:tabs>
          <w:tab w:val="num" w:pos="2880"/>
        </w:tabs>
        <w:ind w:left="2880" w:hanging="360"/>
      </w:pPr>
      <w:rPr>
        <w:rFonts w:ascii="Arial" w:hAnsi="Arial" w:hint="default"/>
      </w:rPr>
    </w:lvl>
    <w:lvl w:ilvl="4" w:tplc="86A4E926" w:tentative="1">
      <w:start w:val="1"/>
      <w:numFmt w:val="bullet"/>
      <w:lvlText w:val="•"/>
      <w:lvlJc w:val="left"/>
      <w:pPr>
        <w:tabs>
          <w:tab w:val="num" w:pos="3600"/>
        </w:tabs>
        <w:ind w:left="3600" w:hanging="360"/>
      </w:pPr>
      <w:rPr>
        <w:rFonts w:ascii="Arial" w:hAnsi="Arial" w:hint="default"/>
      </w:rPr>
    </w:lvl>
    <w:lvl w:ilvl="5" w:tplc="0BD07F80" w:tentative="1">
      <w:start w:val="1"/>
      <w:numFmt w:val="bullet"/>
      <w:lvlText w:val="•"/>
      <w:lvlJc w:val="left"/>
      <w:pPr>
        <w:tabs>
          <w:tab w:val="num" w:pos="4320"/>
        </w:tabs>
        <w:ind w:left="4320" w:hanging="360"/>
      </w:pPr>
      <w:rPr>
        <w:rFonts w:ascii="Arial" w:hAnsi="Arial" w:hint="default"/>
      </w:rPr>
    </w:lvl>
    <w:lvl w:ilvl="6" w:tplc="F8E4CA4E" w:tentative="1">
      <w:start w:val="1"/>
      <w:numFmt w:val="bullet"/>
      <w:lvlText w:val="•"/>
      <w:lvlJc w:val="left"/>
      <w:pPr>
        <w:tabs>
          <w:tab w:val="num" w:pos="5040"/>
        </w:tabs>
        <w:ind w:left="5040" w:hanging="360"/>
      </w:pPr>
      <w:rPr>
        <w:rFonts w:ascii="Arial" w:hAnsi="Arial" w:hint="default"/>
      </w:rPr>
    </w:lvl>
    <w:lvl w:ilvl="7" w:tplc="A844A796" w:tentative="1">
      <w:start w:val="1"/>
      <w:numFmt w:val="bullet"/>
      <w:lvlText w:val="•"/>
      <w:lvlJc w:val="left"/>
      <w:pPr>
        <w:tabs>
          <w:tab w:val="num" w:pos="5760"/>
        </w:tabs>
        <w:ind w:left="5760" w:hanging="360"/>
      </w:pPr>
      <w:rPr>
        <w:rFonts w:ascii="Arial" w:hAnsi="Arial" w:hint="default"/>
      </w:rPr>
    </w:lvl>
    <w:lvl w:ilvl="8" w:tplc="AA608F4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8E9"/>
    <w:rsid w:val="000E0FE8"/>
    <w:rsid w:val="00153E58"/>
    <w:rsid w:val="001E6B5C"/>
    <w:rsid w:val="004813CE"/>
    <w:rsid w:val="004C493E"/>
    <w:rsid w:val="00532293"/>
    <w:rsid w:val="005E5E49"/>
    <w:rsid w:val="00632285"/>
    <w:rsid w:val="006D48E9"/>
    <w:rsid w:val="007A68AA"/>
    <w:rsid w:val="008C09FF"/>
    <w:rsid w:val="008F0B03"/>
    <w:rsid w:val="00A11311"/>
    <w:rsid w:val="00B17007"/>
    <w:rsid w:val="00B47A4D"/>
    <w:rsid w:val="00D3104B"/>
    <w:rsid w:val="00E318BF"/>
    <w:rsid w:val="00ED662E"/>
    <w:rsid w:val="00F2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7B4B05-A586-46B8-BA41-9C92248D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555917">
      <w:bodyDiv w:val="1"/>
      <w:marLeft w:val="0"/>
      <w:marRight w:val="0"/>
      <w:marTop w:val="0"/>
      <w:marBottom w:val="0"/>
      <w:divBdr>
        <w:top w:val="none" w:sz="0" w:space="0" w:color="auto"/>
        <w:left w:val="none" w:sz="0" w:space="0" w:color="auto"/>
        <w:bottom w:val="none" w:sz="0" w:space="0" w:color="auto"/>
        <w:right w:val="none" w:sz="0" w:space="0" w:color="auto"/>
      </w:divBdr>
      <w:divsChild>
        <w:div w:id="1390616285">
          <w:marLeft w:val="360"/>
          <w:marRight w:val="0"/>
          <w:marTop w:val="200"/>
          <w:marBottom w:val="0"/>
          <w:divBdr>
            <w:top w:val="none" w:sz="0" w:space="0" w:color="auto"/>
            <w:left w:val="none" w:sz="0" w:space="0" w:color="auto"/>
            <w:bottom w:val="none" w:sz="0" w:space="0" w:color="auto"/>
            <w:right w:val="none" w:sz="0" w:space="0" w:color="auto"/>
          </w:divBdr>
        </w:div>
      </w:divsChild>
    </w:div>
    <w:div w:id="995718655">
      <w:bodyDiv w:val="1"/>
      <w:marLeft w:val="0"/>
      <w:marRight w:val="0"/>
      <w:marTop w:val="0"/>
      <w:marBottom w:val="0"/>
      <w:divBdr>
        <w:top w:val="none" w:sz="0" w:space="0" w:color="auto"/>
        <w:left w:val="none" w:sz="0" w:space="0" w:color="auto"/>
        <w:bottom w:val="none" w:sz="0" w:space="0" w:color="auto"/>
        <w:right w:val="none" w:sz="0" w:space="0" w:color="auto"/>
      </w:divBdr>
    </w:div>
    <w:div w:id="1280843160">
      <w:bodyDiv w:val="1"/>
      <w:marLeft w:val="0"/>
      <w:marRight w:val="0"/>
      <w:marTop w:val="0"/>
      <w:marBottom w:val="0"/>
      <w:divBdr>
        <w:top w:val="none" w:sz="0" w:space="0" w:color="auto"/>
        <w:left w:val="none" w:sz="0" w:space="0" w:color="auto"/>
        <w:bottom w:val="none" w:sz="0" w:space="0" w:color="auto"/>
        <w:right w:val="none" w:sz="0" w:space="0" w:color="auto"/>
      </w:divBdr>
    </w:div>
    <w:div w:id="1405689853">
      <w:bodyDiv w:val="1"/>
      <w:marLeft w:val="0"/>
      <w:marRight w:val="0"/>
      <w:marTop w:val="0"/>
      <w:marBottom w:val="0"/>
      <w:divBdr>
        <w:top w:val="none" w:sz="0" w:space="0" w:color="auto"/>
        <w:left w:val="none" w:sz="0" w:space="0" w:color="auto"/>
        <w:bottom w:val="none" w:sz="0" w:space="0" w:color="auto"/>
        <w:right w:val="none" w:sz="0" w:space="0" w:color="auto"/>
      </w:divBdr>
      <w:divsChild>
        <w:div w:id="2127196740">
          <w:marLeft w:val="360"/>
          <w:marRight w:val="0"/>
          <w:marTop w:val="200"/>
          <w:marBottom w:val="0"/>
          <w:divBdr>
            <w:top w:val="none" w:sz="0" w:space="0" w:color="auto"/>
            <w:left w:val="none" w:sz="0" w:space="0" w:color="auto"/>
            <w:bottom w:val="none" w:sz="0" w:space="0" w:color="auto"/>
            <w:right w:val="none" w:sz="0" w:space="0" w:color="auto"/>
          </w:divBdr>
        </w:div>
      </w:divsChild>
    </w:div>
    <w:div w:id="1513910693">
      <w:bodyDiv w:val="1"/>
      <w:marLeft w:val="0"/>
      <w:marRight w:val="0"/>
      <w:marTop w:val="0"/>
      <w:marBottom w:val="0"/>
      <w:divBdr>
        <w:top w:val="none" w:sz="0" w:space="0" w:color="auto"/>
        <w:left w:val="none" w:sz="0" w:space="0" w:color="auto"/>
        <w:bottom w:val="none" w:sz="0" w:space="0" w:color="auto"/>
        <w:right w:val="none" w:sz="0" w:space="0" w:color="auto"/>
      </w:divBdr>
      <w:divsChild>
        <w:div w:id="2030909933">
          <w:marLeft w:val="360"/>
          <w:marRight w:val="0"/>
          <w:marTop w:val="200"/>
          <w:marBottom w:val="0"/>
          <w:divBdr>
            <w:top w:val="none" w:sz="0" w:space="0" w:color="auto"/>
            <w:left w:val="none" w:sz="0" w:space="0" w:color="auto"/>
            <w:bottom w:val="none" w:sz="0" w:space="0" w:color="auto"/>
            <w:right w:val="none" w:sz="0" w:space="0" w:color="auto"/>
          </w:divBdr>
        </w:div>
      </w:divsChild>
    </w:div>
    <w:div w:id="1952475298">
      <w:bodyDiv w:val="1"/>
      <w:marLeft w:val="0"/>
      <w:marRight w:val="0"/>
      <w:marTop w:val="0"/>
      <w:marBottom w:val="0"/>
      <w:divBdr>
        <w:top w:val="none" w:sz="0" w:space="0" w:color="auto"/>
        <w:left w:val="none" w:sz="0" w:space="0" w:color="auto"/>
        <w:bottom w:val="none" w:sz="0" w:space="0" w:color="auto"/>
        <w:right w:val="none" w:sz="0" w:space="0" w:color="auto"/>
      </w:divBdr>
      <w:divsChild>
        <w:div w:id="147124701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dc:creator>
  <cp:keywords/>
  <dc:description/>
  <cp:lastModifiedBy>HP</cp:lastModifiedBy>
  <cp:revision>3</cp:revision>
  <dcterms:created xsi:type="dcterms:W3CDTF">2020-11-15T00:11:00Z</dcterms:created>
  <dcterms:modified xsi:type="dcterms:W3CDTF">2020-11-15T02:00:00Z</dcterms:modified>
</cp:coreProperties>
</file>