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bidi w:val="0"/>
        <w:ind w:left="0" w:right="0" w:firstLine="0"/>
        <w:jc w:val="left"/>
        <w:rPr>
          <w:rFonts w:ascii="Trebuchet MS" w:hAnsi="Trebuchet MS"/>
          <w:color w:val="545454"/>
          <w:sz w:val="26"/>
          <w:szCs w:val="26"/>
          <w:shd w:val="clear" w:color="auto" w:fill="ffffff"/>
          <w:rtl w:val="0"/>
        </w:rPr>
      </w:pPr>
    </w:p>
    <w:p>
      <w:pPr>
        <w:pStyle w:val="Default"/>
        <w:bidi w:val="0"/>
        <w:ind w:left="0" w:right="0" w:firstLine="0"/>
        <w:jc w:val="left"/>
        <w:rPr>
          <w:rFonts w:ascii="Trebuchet MS" w:hAnsi="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 xml:space="preserve">Complete the </w:t>
      </w:r>
      <w:r>
        <w:rPr>
          <w:rFonts w:ascii="Trebuchet MS" w:hAnsi="Trebuchet MS" w:hint="default"/>
          <w:color w:val="545454"/>
          <w:sz w:val="26"/>
          <w:szCs w:val="26"/>
          <w:shd w:val="clear" w:color="auto" w:fill="ffffff"/>
          <w:rtl w:val="0"/>
        </w:rPr>
        <w:t>“</w:t>
      </w:r>
      <w:r>
        <w:rPr>
          <w:rFonts w:ascii="Trebuchet MS" w:hAnsi="Trebuchet MS"/>
          <w:color w:val="545454"/>
          <w:sz w:val="26"/>
          <w:szCs w:val="26"/>
          <w:shd w:val="clear" w:color="auto" w:fill="ffffff"/>
          <w:rtl w:val="0"/>
          <w:lang w:val="fr-FR"/>
        </w:rPr>
        <w:t>Professional Dispositions Assessment</w:t>
      </w:r>
      <w:r>
        <w:rPr>
          <w:rFonts w:ascii="Trebuchet MS" w:hAnsi="Trebuchet MS" w:hint="default"/>
          <w:color w:val="545454"/>
          <w:sz w:val="26"/>
          <w:szCs w:val="26"/>
          <w:shd w:val="clear" w:color="auto" w:fill="ffffff"/>
          <w:rtl w:val="0"/>
        </w:rPr>
        <w:t xml:space="preserve">” </w:t>
      </w:r>
      <w:r>
        <w:rPr>
          <w:rFonts w:ascii="Trebuchet MS" w:hAnsi="Trebuchet MS"/>
          <w:color w:val="545454"/>
          <w:sz w:val="26"/>
          <w:szCs w:val="26"/>
          <w:shd w:val="clear" w:color="auto" w:fill="ffffff"/>
          <w:rtl w:val="0"/>
          <w:lang w:val="en-US"/>
        </w:rPr>
        <w:t xml:space="preserve">to inform your </w:t>
      </w:r>
      <w:r>
        <w:rPr>
          <w:rFonts w:ascii="Trebuchet MS" w:hAnsi="Trebuchet MS" w:hint="default"/>
          <w:color w:val="545454"/>
          <w:sz w:val="26"/>
          <w:szCs w:val="26"/>
          <w:shd w:val="clear" w:color="auto" w:fill="ffffff"/>
          <w:rtl w:val="0"/>
        </w:rPr>
        <w:t>“</w:t>
      </w:r>
      <w:r>
        <w:rPr>
          <w:rFonts w:ascii="Trebuchet MS" w:hAnsi="Trebuchet MS"/>
          <w:color w:val="545454"/>
          <w:sz w:val="26"/>
          <w:szCs w:val="26"/>
          <w:shd w:val="clear" w:color="auto" w:fill="ffffff"/>
          <w:rtl w:val="0"/>
          <w:lang w:val="en-US"/>
        </w:rPr>
        <w:t>Professional Dispositions Statement.</w:t>
      </w:r>
      <w:r>
        <w:rPr>
          <w:rFonts w:ascii="Trebuchet MS" w:hAnsi="Trebuchet MS" w:hint="default"/>
          <w:color w:val="545454"/>
          <w:sz w:val="26"/>
          <w:szCs w:val="26"/>
          <w:shd w:val="clear" w:color="auto" w:fill="ffffff"/>
          <w:rtl w:val="0"/>
        </w:rPr>
        <w:t>”</w:t>
      </w:r>
      <w:r>
        <w:rPr>
          <w:rFonts w:ascii="Trebuchet MS" w:hAnsi="Trebuchet MS"/>
          <w:color w:val="545454"/>
          <w:sz w:val="26"/>
          <w:szCs w:val="26"/>
          <w:shd w:val="clear" w:color="auto" w:fill="ffffff"/>
          <w:rtl w:val="0"/>
          <w:lang w:val="en-US"/>
        </w:rPr>
        <w:t xml:space="preserve"> ( Elementary Teacher)</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In 250-500 words, write a reflection that addresses the following:</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numPr>
          <w:ilvl w:val="0"/>
          <w:numId w:val="2"/>
        </w:numPr>
        <w:bidi w:val="0"/>
        <w:ind w:right="0"/>
        <w:jc w:val="left"/>
        <w:rPr>
          <w:rFonts w:ascii="Trebuchet MS" w:hAnsi="Trebuchet MS"/>
          <w:color w:val="545454"/>
          <w:sz w:val="26"/>
          <w:szCs w:val="26"/>
          <w:shd w:val="clear" w:color="auto" w:fill="ffffff"/>
          <w:rtl w:val="0"/>
          <w:lang w:val="en-US"/>
        </w:rPr>
      </w:pPr>
      <w:r>
        <w:rPr>
          <w:rFonts w:ascii="Trebuchet MS" w:hAnsi="Trebuchet MS"/>
          <w:color w:val="545454"/>
          <w:sz w:val="26"/>
          <w:szCs w:val="26"/>
          <w:shd w:val="clear" w:color="auto" w:fill="ffffff"/>
          <w:rtl w:val="0"/>
          <w:lang w:val="en-US"/>
        </w:rPr>
        <w:t>Your personal professional disposition statement.</w:t>
      </w:r>
    </w:p>
    <w:p>
      <w:pPr>
        <w:pStyle w:val="Default"/>
        <w:numPr>
          <w:ilvl w:val="0"/>
          <w:numId w:val="2"/>
        </w:numPr>
        <w:bidi w:val="0"/>
        <w:ind w:right="0"/>
        <w:jc w:val="left"/>
        <w:rPr>
          <w:rFonts w:ascii="Trebuchet MS" w:hAnsi="Trebuchet MS"/>
          <w:color w:val="545454"/>
          <w:sz w:val="26"/>
          <w:szCs w:val="26"/>
          <w:shd w:val="clear" w:color="auto" w:fill="ffffff"/>
          <w:rtl w:val="0"/>
          <w:lang w:val="en-US"/>
        </w:rPr>
      </w:pPr>
      <w:r>
        <w:rPr>
          <w:rFonts w:ascii="Trebuchet MS" w:hAnsi="Trebuchet MS"/>
          <w:color w:val="545454"/>
          <w:sz w:val="26"/>
          <w:szCs w:val="26"/>
          <w:shd w:val="clear" w:color="auto" w:fill="ffffff"/>
          <w:rtl w:val="0"/>
          <w:lang w:val="en-US"/>
        </w:rPr>
        <w:t>How your self-assessment supports your professional dispositions statement.</w:t>
      </w:r>
    </w:p>
    <w:p>
      <w:pPr>
        <w:pStyle w:val="Default"/>
        <w:numPr>
          <w:ilvl w:val="0"/>
          <w:numId w:val="2"/>
        </w:numPr>
        <w:bidi w:val="0"/>
        <w:ind w:right="0"/>
        <w:jc w:val="left"/>
        <w:rPr>
          <w:rFonts w:ascii="Trebuchet MS" w:hAnsi="Trebuchet MS"/>
          <w:color w:val="545454"/>
          <w:sz w:val="26"/>
          <w:szCs w:val="26"/>
          <w:shd w:val="clear" w:color="auto" w:fill="ffffff"/>
          <w:rtl w:val="0"/>
          <w:lang w:val="en-US"/>
        </w:rPr>
      </w:pPr>
      <w:r>
        <w:rPr>
          <w:rFonts w:ascii="Trebuchet MS" w:hAnsi="Trebuchet MS"/>
          <w:color w:val="545454"/>
          <w:sz w:val="26"/>
          <w:szCs w:val="26"/>
          <w:shd w:val="clear" w:color="auto" w:fill="ffffff"/>
          <w:rtl w:val="0"/>
          <w:lang w:val="en-US"/>
        </w:rPr>
        <w:t>Reflects on how you have grown in your professional dispositions throughout your Program of Study, supported by specific examples.</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 xml:space="preserve">         (Student Teaching)</w:t>
      </w:r>
    </w:p>
    <w:p>
      <w:pPr>
        <w:pStyle w:val="Default"/>
        <w:numPr>
          <w:ilvl w:val="0"/>
          <w:numId w:val="2"/>
        </w:numPr>
        <w:bidi w:val="0"/>
        <w:ind w:right="0"/>
        <w:jc w:val="left"/>
        <w:rPr>
          <w:rFonts w:ascii="Trebuchet MS" w:hAnsi="Trebuchet MS"/>
          <w:color w:val="545454"/>
          <w:sz w:val="26"/>
          <w:szCs w:val="26"/>
          <w:shd w:val="clear" w:color="auto" w:fill="ffffff"/>
          <w:rtl w:val="0"/>
          <w:lang w:val="en-US"/>
        </w:rPr>
      </w:pPr>
      <w:r>
        <w:rPr>
          <w:rFonts w:ascii="Trebuchet MS" w:hAnsi="Trebuchet MS"/>
          <w:color w:val="545454"/>
          <w:sz w:val="26"/>
          <w:szCs w:val="26"/>
          <w:shd w:val="clear" w:color="auto" w:fill="ffffff"/>
          <w:rtl w:val="0"/>
          <w:lang w:val="en-US"/>
        </w:rPr>
        <w:t>Steps you will take to improve where necessary.</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While APA format is not required for the body of this assignment, solid academic writing is expected, and in-text citations and references should be presented using APA documentation guidelines,</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This assignment uses a rubric. Review the rubric prior to beginning the assignment to become familiar with the expectations for successful completion.</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You are required to submit this assignment to Turnitin.</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ffffff"/>
          <w:sz w:val="32"/>
          <w:szCs w:val="32"/>
          <w:shd w:val="clear" w:color="auto" w:fill="ffffff"/>
          <w:rtl w:val="0"/>
        </w:rPr>
      </w:pPr>
      <w:r>
        <w:rPr>
          <w:rFonts w:ascii="Trebuchet MS" w:hAnsi="Trebuchet MS"/>
          <w:color w:val="ffffff"/>
          <w:sz w:val="32"/>
          <w:szCs w:val="32"/>
          <w:shd w:val="clear" w:color="auto" w:fill="ffffff"/>
          <w:rtl w:val="0"/>
          <w:lang w:val="en-US"/>
        </w:rPr>
        <w:t>Apply Rubrics</w:t>
      </w:r>
    </w:p>
    <w:p>
      <w:pPr>
        <w:pStyle w:val="Default"/>
        <w:bidi w:val="0"/>
        <w:ind w:left="0" w:right="0" w:firstLine="0"/>
        <w:jc w:val="left"/>
        <w:rPr>
          <w:rFonts w:ascii="Trebuchet MS" w:cs="Trebuchet MS" w:hAnsi="Trebuchet MS" w:eastAsia="Trebuchet MS"/>
          <w:b w:val="0"/>
          <w:bCs w:val="0"/>
          <w:color w:val="333333"/>
          <w:sz w:val="24"/>
          <w:szCs w:val="24"/>
          <w:shd w:val="clear" w:color="auto" w:fill="ffffff"/>
          <w:rtl w:val="0"/>
        </w:rPr>
      </w:pPr>
      <w:r>
        <w:rPr>
          <w:rFonts w:ascii="Trebuchet MS" w:hAnsi="Trebuchet MS"/>
          <w:b w:val="1"/>
          <w:bCs w:val="1"/>
          <w:color w:val="eb7600"/>
          <w:sz w:val="24"/>
          <w:szCs w:val="24"/>
          <w:shd w:val="clear" w:color="auto" w:fill="ffffff"/>
          <w:rtl w:val="0"/>
          <w:lang w:val="en-US"/>
        </w:rPr>
        <w:t xml:space="preserve">Professional Dispositions Statement Assessment </w:t>
      </w:r>
    </w:p>
    <w:tbl>
      <w:tblPr>
        <w:tblW w:w="936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84"/>
        <w:gridCol w:w="1346"/>
        <w:gridCol w:w="1380"/>
        <w:gridCol w:w="1383"/>
        <w:gridCol w:w="1386"/>
        <w:gridCol w:w="2081"/>
      </w:tblGrid>
      <w:tr>
        <w:tblPrEx>
          <w:shd w:val="clear" w:color="auto" w:fill="auto"/>
        </w:tblPrEx>
        <w:trPr>
          <w:trHeight w:val="1131" w:hRule="atLeast"/>
        </w:trPr>
        <w:tc>
          <w:tcPr>
            <w:tcW w:type="dxa" w:w="1784"/>
            <w:tcBorders>
              <w:top w:val="single" w:color="000000" w:sz="2" w:space="0" w:shadow="0" w:frame="0"/>
              <w:left w:val="single" w:color="000000" w:sz="2" w:space="0" w:shadow="0" w:frame="0"/>
              <w:bottom w:val="single" w:color="9ac5da" w:sz="6" w:space="0" w:shadow="0" w:frame="0"/>
              <w:right w:val="single" w:color="000000" w:sz="2" w:space="0" w:shadow="0" w:frame="0"/>
            </w:tcBorders>
            <w:shd w:val="clear" w:color="auto" w:fill="auto"/>
            <w:tcMar>
              <w:top w:type="dxa" w:w="80"/>
              <w:left w:type="dxa" w:w="0"/>
              <w:bottom w:type="dxa" w:w="80"/>
              <w:right w:type="dxa" w:w="0"/>
            </w:tcMar>
            <w:vAlign w:val="center"/>
          </w:tcPr>
          <w:p/>
        </w:tc>
        <w:tc>
          <w:tcPr>
            <w:tcW w:type="dxa" w:w="1345"/>
            <w:tcBorders>
              <w:top w:val="single" w:color="000000" w:sz="2" w:space="0" w:shadow="0" w:frame="0"/>
              <w:left w:val="single" w:color="000000" w:sz="2" w:space="0" w:shadow="0" w:frame="0"/>
              <w:bottom w:val="single" w:color="9ac5da" w:sz="6"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1</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No Submission</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0.00%</w:t>
            </w:r>
          </w:p>
        </w:tc>
        <w:tc>
          <w:tcPr>
            <w:tcW w:type="dxa" w:w="13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2</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Insufficient</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65.00%</w:t>
            </w:r>
          </w:p>
        </w:tc>
        <w:tc>
          <w:tcPr>
            <w:tcW w:type="dxa" w:w="13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3</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Approaching</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75.00%</w:t>
            </w:r>
          </w:p>
        </w:tc>
        <w:tc>
          <w:tcPr>
            <w:tcW w:type="dxa" w:w="138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4</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Acceptable</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85.00%</w:t>
            </w:r>
          </w:p>
        </w:tc>
        <w:tc>
          <w:tcPr>
            <w:tcW w:type="dxa" w:w="20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5</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Target</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100.00%</w:t>
            </w:r>
          </w:p>
        </w:tc>
      </w:tr>
      <w:tr>
        <w:tblPrEx>
          <w:shd w:val="clear" w:color="auto" w:fill="auto"/>
        </w:tblPrEx>
        <w:trPr>
          <w:trHeight w:val="577" w:hRule="atLeast"/>
        </w:trPr>
        <w:tc>
          <w:tcPr>
            <w:tcW w:type="dxa" w:w="1784"/>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it-IT"/>
              </w:rPr>
              <w:t>Criteria</w:t>
            </w:r>
          </w:p>
        </w:tc>
        <w:tc>
          <w:tcPr>
            <w:tcW w:type="dxa" w:w="7575"/>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7297" w:hRule="atLeast"/>
        </w:trPr>
        <w:tc>
          <w:tcPr>
            <w:tcW w:type="dxa" w:w="1784"/>
            <w:tcBorders>
              <w:top w:val="single" w:color="9ac5da" w:sz="6" w:space="0" w:shadow="0" w:frame="0"/>
              <w:left w:val="single" w:color="d0d0d0" w:sz="6" w:space="0" w:shadow="0" w:frame="0"/>
              <w:bottom w:val="single" w:color="d0d0d0"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Professional Disposition Statement</w:t>
            </w:r>
          </w:p>
        </w:tc>
        <w:tc>
          <w:tcPr>
            <w:tcW w:type="dxa" w:w="1345"/>
            <w:tcBorders>
              <w:top w:val="single" w:color="9ac5da"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Not addressed.</w:t>
            </w:r>
          </w:p>
        </w:tc>
        <w:tc>
          <w:tcPr>
            <w:tcW w:type="dxa" w:w="1380"/>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professional disposition statement is ineffective and/or does not sufficiently demonstrate the belief that all students can learn.</w:t>
            </w:r>
          </w:p>
        </w:tc>
        <w:tc>
          <w:tcPr>
            <w:tcW w:type="dxa" w:w="138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professional disposition statement is simple, but generally demonstrates high standards in the professional settings. It has basic evidence of behaviors consistent with equity and the belief that all students can learn.</w:t>
            </w:r>
          </w:p>
        </w:tc>
        <w:tc>
          <w:tcPr>
            <w:tcW w:type="dxa" w:w="138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professional disposition statement is a reasonable statement that demonstrates high standards in professional settings. It logically demonstrates evidence of behaviors consistent with equity and the belief that all students can learn.</w:t>
            </w:r>
          </w:p>
        </w:tc>
        <w:tc>
          <w:tcPr>
            <w:tcW w:type="dxa" w:w="2080"/>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professional disposition statement is an in-depth statement that demonstrates high standards in the classroom and other professional settings. It convincingly exhibits evidence of behaviors consistent with equity and the belief that all students can learn. It skillfully displays ethical behaviors such as honesty, fairness, and integrity.</w:t>
            </w:r>
          </w:p>
        </w:tc>
      </w:tr>
      <w:tr>
        <w:tblPrEx>
          <w:shd w:val="clear" w:color="auto" w:fill="auto"/>
        </w:tblPrEx>
        <w:trPr>
          <w:trHeight w:val="3657" w:hRule="atLeast"/>
        </w:trPr>
        <w:tc>
          <w:tcPr>
            <w:tcW w:type="dxa" w:w="1784"/>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Assessment Results</w:t>
            </w:r>
          </w:p>
        </w:tc>
        <w:tc>
          <w:tcPr>
            <w:tcW w:type="dxa" w:w="1345"/>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Not addressed.</w:t>
            </w:r>
          </w:p>
        </w:tc>
        <w:tc>
          <w:tcPr>
            <w:tcW w:type="dxa" w:w="1380"/>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Submission inadequately describes how assessment results support the presented professional disposition statement.</w:t>
            </w:r>
          </w:p>
        </w:tc>
        <w:tc>
          <w:tcPr>
            <w:tcW w:type="dxa" w:w="1382"/>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Submission broadly describes how assessment results support the presented professional disposition statement.</w:t>
            </w:r>
          </w:p>
        </w:tc>
        <w:tc>
          <w:tcPr>
            <w:tcW w:type="dxa" w:w="1385"/>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Submission includes a clear description of how assessment results support the presented professional disposition statement.</w:t>
            </w:r>
          </w:p>
        </w:tc>
        <w:tc>
          <w:tcPr>
            <w:tcW w:type="dxa" w:w="2080"/>
            <w:tcBorders>
              <w:top w:val="single" w:color="d0d0d0" w:sz="6" w:space="0" w:shadow="0" w:frame="0"/>
              <w:left w:val="single" w:color="d0d0d0" w:sz="6" w:space="0" w:shadow="0" w:frame="0"/>
              <w:bottom w:val="single" w:color="d0d0d0" w:sz="6" w:space="0" w:shadow="0" w:frame="0"/>
              <w:right w:val="single" w:color="000000" w:sz="2"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Submission includes a thorough, convincing description of how assessment results support the presented professional disposition statement.</w:t>
            </w:r>
          </w:p>
        </w:tc>
      </w:tr>
      <w:tr>
        <w:tblPrEx>
          <w:shd w:val="clear" w:color="auto" w:fill="auto"/>
        </w:tblPrEx>
        <w:trPr>
          <w:trHeight w:val="7017" w:hRule="atLeast"/>
        </w:trPr>
        <w:tc>
          <w:tcPr>
            <w:tcW w:type="dxa" w:w="1784"/>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Growth in Professional Dispositions</w:t>
            </w:r>
          </w:p>
        </w:tc>
        <w:tc>
          <w:tcPr>
            <w:tcW w:type="dxa" w:w="1345"/>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Not addressed.</w:t>
            </w:r>
          </w:p>
        </w:tc>
        <w:tc>
          <w:tcPr>
            <w:tcW w:type="dxa" w:w="1380"/>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Reflection unconvincingly describes personal growth in professional dispositions. Examples of growth in professional dispositions throughout the program of study are not present, or are unfocused or irrelevant.</w:t>
            </w:r>
          </w:p>
        </w:tc>
        <w:tc>
          <w:tcPr>
            <w:tcW w:type="dxa" w:w="1382"/>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Reflection broadly explains growth in professional dispositions and includes basic examples throughout the program of study.</w:t>
            </w:r>
          </w:p>
        </w:tc>
        <w:tc>
          <w:tcPr>
            <w:tcW w:type="dxa" w:w="1385"/>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Reflection clearly explains personal growth in professional dispositions throughout the program of study with applicable examples.</w:t>
            </w:r>
          </w:p>
        </w:tc>
        <w:tc>
          <w:tcPr>
            <w:tcW w:type="dxa" w:w="2080"/>
            <w:tcBorders>
              <w:top w:val="single" w:color="d0d0d0" w:sz="6"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Reflection thoroughly explains how one has grown in their professional dispositions and gives substantial examples throughout the program of study.</w:t>
            </w:r>
          </w:p>
        </w:tc>
      </w:tr>
      <w:tr>
        <w:tblPrEx>
          <w:shd w:val="clear" w:color="auto" w:fill="auto"/>
        </w:tblPrEx>
        <w:trPr>
          <w:trHeight w:val="3377" w:hRule="atLeast"/>
        </w:trPr>
        <w:tc>
          <w:tcPr>
            <w:tcW w:type="dxa" w:w="1784"/>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Steps for Improvement</w:t>
            </w:r>
          </w:p>
        </w:tc>
        <w:tc>
          <w:tcPr>
            <w:tcW w:type="dxa" w:w="1345"/>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Not addressed.</w:t>
            </w:r>
          </w:p>
        </w:tc>
        <w:tc>
          <w:tcPr>
            <w:tcW w:type="dxa" w:w="1380"/>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Reflection inadequately or incompletely identifies steps for improving personal professional dispositions.</w:t>
            </w:r>
          </w:p>
        </w:tc>
        <w:tc>
          <w:tcPr>
            <w:tcW w:type="dxa" w:w="1382"/>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Reflection broadly identifies next steps for improving personal professional dispositions.</w:t>
            </w:r>
          </w:p>
        </w:tc>
        <w:tc>
          <w:tcPr>
            <w:tcW w:type="dxa" w:w="1385"/>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Reflection soundly identifies next steps for improving personal professional dispositions.</w:t>
            </w:r>
          </w:p>
        </w:tc>
        <w:tc>
          <w:tcPr>
            <w:tcW w:type="dxa" w:w="2080"/>
            <w:tcBorders>
              <w:top w:val="single" w:color="d0d0d0" w:sz="6" w:space="0" w:shadow="0" w:frame="0"/>
              <w:left w:val="single" w:color="d0d0d0" w:sz="6" w:space="0" w:shadow="0" w:frame="0"/>
              <w:bottom w:val="single" w:color="d0d0d0" w:sz="6" w:space="0" w:shadow="0" w:frame="0"/>
              <w:right w:val="single" w:color="000000" w:sz="2"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Reflection effectively and thoroughly identifies steps for improving personal professional dispositions.</w:t>
            </w:r>
          </w:p>
        </w:tc>
      </w:tr>
      <w:tr>
        <w:tblPrEx>
          <w:shd w:val="clear" w:color="auto" w:fill="auto"/>
        </w:tblPrEx>
        <w:trPr>
          <w:trHeight w:val="6177" w:hRule="atLeast"/>
        </w:trPr>
        <w:tc>
          <w:tcPr>
            <w:tcW w:type="dxa" w:w="1784"/>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Mechanics of Writing (includes spelling, punctuation, grammar, and language use)</w:t>
            </w:r>
          </w:p>
        </w:tc>
        <w:tc>
          <w:tcPr>
            <w:tcW w:type="dxa" w:w="1345"/>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Not addressed.</w:t>
            </w:r>
          </w:p>
        </w:tc>
        <w:tc>
          <w:tcPr>
            <w:tcW w:type="dxa" w:w="1380"/>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Surface errors are pervasive enough that they impede communication of meaning. Inappropriate word choice or sentence construction are used.</w:t>
            </w:r>
          </w:p>
        </w:tc>
        <w:tc>
          <w:tcPr>
            <w:tcW w:type="dxa" w:w="1382"/>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Submission includes mechanical errors, but they do not hinder comprehension. Effective sentence structures are used, as well as some practice and content-related language.</w:t>
            </w:r>
          </w:p>
        </w:tc>
        <w:tc>
          <w:tcPr>
            <w:tcW w:type="dxa" w:w="1385"/>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Submission is largely free of mechanical errors, although a few are present. Varieties of effective sentence structures and figures of speech are used, as well as appropriate practice and content-related language.</w:t>
            </w:r>
          </w:p>
        </w:tc>
        <w:tc>
          <w:tcPr>
            <w:tcW w:type="dxa" w:w="2080"/>
            <w:tcBorders>
              <w:top w:val="single" w:color="d0d0d0" w:sz="6"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Submission is virtually free of mechanical errors. Word choice reflects well-developed use of practice and content-related language. Sentence structures are varied and engaging.</w:t>
            </w:r>
          </w:p>
        </w:tc>
      </w:tr>
      <w:tr>
        <w:tblPrEx>
          <w:shd w:val="clear" w:color="auto" w:fill="auto"/>
        </w:tblPrEx>
        <w:trPr>
          <w:trHeight w:val="851" w:hRule="atLeast"/>
        </w:trPr>
        <w:tc>
          <w:tcPr>
            <w:tcW w:type="dxa" w:w="1784"/>
            <w:tcBorders>
              <w:top w:val="single" w:color="d0d0d0" w:sz="6"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Total Weightage</w:t>
            </w:r>
          </w:p>
        </w:tc>
        <w:tc>
          <w:tcPr>
            <w:tcW w:type="dxa" w:w="7575"/>
            <w:gridSpan w:val="5"/>
            <w:tcBorders>
              <w:top w:val="single" w:color="d0d0d0" w:sz="6"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0"/>
              <w:left w:type="dxa" w:w="0"/>
              <w:bottom w:type="dxa" w:w="0"/>
              <w:right w:type="dxa" w:w="0"/>
            </w:tcMar>
            <w:vAlign w:val="top"/>
          </w:tcPr>
          <w:p/>
        </w:tc>
      </w:tr>
    </w:tbl>
    <w:p>
      <w:pPr>
        <w:pStyle w:val="Default"/>
        <w:bidi w:val="0"/>
        <w:ind w:left="0" w:right="0" w:firstLine="0"/>
        <w:jc w:val="left"/>
        <w:rPr>
          <w:rtl w:val="0"/>
        </w:rPr>
      </w:pPr>
      <w:r>
        <w:rPr>
          <w:rFonts w:ascii="Trebuchet MS" w:cs="Trebuchet MS" w:hAnsi="Trebuchet MS" w:eastAsia="Trebuchet MS"/>
          <w:color w:val="333333"/>
          <w:sz w:val="24"/>
          <w:szCs w:val="24"/>
          <w:shd w:val="clear" w:color="auto" w:fill="ffffff"/>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720" w:hanging="500"/>
      </w:pPr>
      <w:rPr>
        <w:rFonts w:ascii="Trebuchet MS" w:cs="Trebuchet MS" w:hAnsi="Trebuchet MS" w:eastAsia="Trebuchet MS"/>
        <w:b w:val="0"/>
        <w:bCs w:val="0"/>
        <w:i w:val="0"/>
        <w:iCs w:val="0"/>
        <w:caps w:val="0"/>
        <w:smallCaps w:val="0"/>
        <w:strike w:val="0"/>
        <w:dstrike w:val="0"/>
        <w:outline w:val="0"/>
        <w:emboss w:val="0"/>
        <w:imprint w:val="0"/>
        <w:color w:val="545454"/>
        <w:spacing w:val="0"/>
        <w:w w:val="100"/>
        <w:kern w:val="0"/>
        <w:position w:val="-2"/>
        <w:highlight w:val="none"/>
        <w:vertAlign w:val="baseline"/>
      </w:rPr>
    </w:lvl>
    <w:lvl w:ilvl="1">
      <w:start w:val="1"/>
      <w:numFmt w:val="bullet"/>
      <w:suff w:val="tab"/>
      <w:lvlText w:val="•"/>
      <w:lvlJc w:val="left"/>
      <w:pPr>
        <w:ind w:left="940" w:hanging="500"/>
      </w:pPr>
      <w:rPr>
        <w:rFonts w:ascii="Trebuchet MS" w:cs="Trebuchet MS" w:hAnsi="Trebuchet MS" w:eastAsia="Trebuchet MS"/>
        <w:b w:val="0"/>
        <w:bCs w:val="0"/>
        <w:i w:val="0"/>
        <w:iCs w:val="0"/>
        <w:caps w:val="0"/>
        <w:smallCaps w:val="0"/>
        <w:strike w:val="0"/>
        <w:dstrike w:val="0"/>
        <w:outline w:val="0"/>
        <w:emboss w:val="0"/>
        <w:imprint w:val="0"/>
        <w:color w:val="545454"/>
        <w:spacing w:val="0"/>
        <w:w w:val="100"/>
        <w:kern w:val="0"/>
        <w:position w:val="-2"/>
        <w:highlight w:val="none"/>
        <w:vertAlign w:val="baseline"/>
      </w:rPr>
    </w:lvl>
    <w:lvl w:ilvl="2">
      <w:start w:val="1"/>
      <w:numFmt w:val="bullet"/>
      <w:suff w:val="tab"/>
      <w:lvlText w:val="•"/>
      <w:lvlJc w:val="left"/>
      <w:pPr>
        <w:ind w:left="1160" w:hanging="500"/>
      </w:pPr>
      <w:rPr>
        <w:rFonts w:ascii="Trebuchet MS" w:cs="Trebuchet MS" w:hAnsi="Trebuchet MS" w:eastAsia="Trebuchet MS"/>
        <w:b w:val="0"/>
        <w:bCs w:val="0"/>
        <w:i w:val="0"/>
        <w:iCs w:val="0"/>
        <w:caps w:val="0"/>
        <w:smallCaps w:val="0"/>
        <w:strike w:val="0"/>
        <w:dstrike w:val="0"/>
        <w:outline w:val="0"/>
        <w:emboss w:val="0"/>
        <w:imprint w:val="0"/>
        <w:color w:val="545454"/>
        <w:spacing w:val="0"/>
        <w:w w:val="100"/>
        <w:kern w:val="0"/>
        <w:position w:val="-2"/>
        <w:highlight w:val="none"/>
        <w:vertAlign w:val="baseline"/>
      </w:rPr>
    </w:lvl>
    <w:lvl w:ilvl="3">
      <w:start w:val="1"/>
      <w:numFmt w:val="bullet"/>
      <w:suff w:val="tab"/>
      <w:lvlText w:val="•"/>
      <w:lvlJc w:val="left"/>
      <w:pPr>
        <w:ind w:left="1380" w:hanging="500"/>
      </w:pPr>
      <w:rPr>
        <w:rFonts w:ascii="Trebuchet MS" w:cs="Trebuchet MS" w:hAnsi="Trebuchet MS" w:eastAsia="Trebuchet MS"/>
        <w:b w:val="0"/>
        <w:bCs w:val="0"/>
        <w:i w:val="0"/>
        <w:iCs w:val="0"/>
        <w:caps w:val="0"/>
        <w:smallCaps w:val="0"/>
        <w:strike w:val="0"/>
        <w:dstrike w:val="0"/>
        <w:outline w:val="0"/>
        <w:emboss w:val="0"/>
        <w:imprint w:val="0"/>
        <w:color w:val="545454"/>
        <w:spacing w:val="0"/>
        <w:w w:val="100"/>
        <w:kern w:val="0"/>
        <w:position w:val="-2"/>
        <w:highlight w:val="none"/>
        <w:vertAlign w:val="baseline"/>
      </w:rPr>
    </w:lvl>
    <w:lvl w:ilvl="4">
      <w:start w:val="1"/>
      <w:numFmt w:val="bullet"/>
      <w:suff w:val="tab"/>
      <w:lvlText w:val="•"/>
      <w:lvlJc w:val="left"/>
      <w:pPr>
        <w:ind w:left="1600" w:hanging="500"/>
      </w:pPr>
      <w:rPr>
        <w:rFonts w:ascii="Trebuchet MS" w:cs="Trebuchet MS" w:hAnsi="Trebuchet MS" w:eastAsia="Trebuchet MS"/>
        <w:b w:val="0"/>
        <w:bCs w:val="0"/>
        <w:i w:val="0"/>
        <w:iCs w:val="0"/>
        <w:caps w:val="0"/>
        <w:smallCaps w:val="0"/>
        <w:strike w:val="0"/>
        <w:dstrike w:val="0"/>
        <w:outline w:val="0"/>
        <w:emboss w:val="0"/>
        <w:imprint w:val="0"/>
        <w:color w:val="545454"/>
        <w:spacing w:val="0"/>
        <w:w w:val="100"/>
        <w:kern w:val="0"/>
        <w:position w:val="-2"/>
        <w:highlight w:val="none"/>
        <w:vertAlign w:val="baseline"/>
      </w:rPr>
    </w:lvl>
    <w:lvl w:ilvl="5">
      <w:start w:val="1"/>
      <w:numFmt w:val="bullet"/>
      <w:suff w:val="tab"/>
      <w:lvlText w:val="•"/>
      <w:lvlJc w:val="left"/>
      <w:pPr>
        <w:ind w:left="1820" w:hanging="500"/>
      </w:pPr>
      <w:rPr>
        <w:rFonts w:ascii="Trebuchet MS" w:cs="Trebuchet MS" w:hAnsi="Trebuchet MS" w:eastAsia="Trebuchet MS"/>
        <w:b w:val="0"/>
        <w:bCs w:val="0"/>
        <w:i w:val="0"/>
        <w:iCs w:val="0"/>
        <w:caps w:val="0"/>
        <w:smallCaps w:val="0"/>
        <w:strike w:val="0"/>
        <w:dstrike w:val="0"/>
        <w:outline w:val="0"/>
        <w:emboss w:val="0"/>
        <w:imprint w:val="0"/>
        <w:color w:val="545454"/>
        <w:spacing w:val="0"/>
        <w:w w:val="100"/>
        <w:kern w:val="0"/>
        <w:position w:val="-2"/>
        <w:highlight w:val="none"/>
        <w:vertAlign w:val="baseline"/>
      </w:rPr>
    </w:lvl>
    <w:lvl w:ilvl="6">
      <w:start w:val="1"/>
      <w:numFmt w:val="bullet"/>
      <w:suff w:val="tab"/>
      <w:lvlText w:val="•"/>
      <w:lvlJc w:val="left"/>
      <w:pPr>
        <w:ind w:left="2040" w:hanging="500"/>
      </w:pPr>
      <w:rPr>
        <w:rFonts w:ascii="Trebuchet MS" w:cs="Trebuchet MS" w:hAnsi="Trebuchet MS" w:eastAsia="Trebuchet MS"/>
        <w:b w:val="0"/>
        <w:bCs w:val="0"/>
        <w:i w:val="0"/>
        <w:iCs w:val="0"/>
        <w:caps w:val="0"/>
        <w:smallCaps w:val="0"/>
        <w:strike w:val="0"/>
        <w:dstrike w:val="0"/>
        <w:outline w:val="0"/>
        <w:emboss w:val="0"/>
        <w:imprint w:val="0"/>
        <w:color w:val="545454"/>
        <w:spacing w:val="0"/>
        <w:w w:val="100"/>
        <w:kern w:val="0"/>
        <w:position w:val="-2"/>
        <w:highlight w:val="none"/>
        <w:vertAlign w:val="baseline"/>
      </w:rPr>
    </w:lvl>
    <w:lvl w:ilvl="7">
      <w:start w:val="1"/>
      <w:numFmt w:val="bullet"/>
      <w:suff w:val="tab"/>
      <w:lvlText w:val="•"/>
      <w:lvlJc w:val="left"/>
      <w:pPr>
        <w:ind w:left="2260" w:hanging="500"/>
      </w:pPr>
      <w:rPr>
        <w:rFonts w:ascii="Trebuchet MS" w:cs="Trebuchet MS" w:hAnsi="Trebuchet MS" w:eastAsia="Trebuchet MS"/>
        <w:b w:val="0"/>
        <w:bCs w:val="0"/>
        <w:i w:val="0"/>
        <w:iCs w:val="0"/>
        <w:caps w:val="0"/>
        <w:smallCaps w:val="0"/>
        <w:strike w:val="0"/>
        <w:dstrike w:val="0"/>
        <w:outline w:val="0"/>
        <w:emboss w:val="0"/>
        <w:imprint w:val="0"/>
        <w:color w:val="545454"/>
        <w:spacing w:val="0"/>
        <w:w w:val="100"/>
        <w:kern w:val="0"/>
        <w:position w:val="-2"/>
        <w:highlight w:val="none"/>
        <w:vertAlign w:val="baseline"/>
      </w:rPr>
    </w:lvl>
    <w:lvl w:ilvl="8">
      <w:start w:val="1"/>
      <w:numFmt w:val="bullet"/>
      <w:suff w:val="tab"/>
      <w:lvlText w:val="•"/>
      <w:lvlJc w:val="left"/>
      <w:pPr>
        <w:ind w:left="2480" w:hanging="500"/>
      </w:pPr>
      <w:rPr>
        <w:rFonts w:ascii="Trebuchet MS" w:cs="Trebuchet MS" w:hAnsi="Trebuchet MS" w:eastAsia="Trebuchet MS"/>
        <w:b w:val="0"/>
        <w:bCs w:val="0"/>
        <w:i w:val="0"/>
        <w:iCs w:val="0"/>
        <w:caps w:val="0"/>
        <w:smallCaps w:val="0"/>
        <w:strike w:val="0"/>
        <w:dstrike w:val="0"/>
        <w:outline w:val="0"/>
        <w:emboss w:val="0"/>
        <w:imprint w:val="0"/>
        <w:color w:val="545454"/>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rPr>
  </w:style>
  <w:style w:type="numbering" w:styleId="Bullet">
    <w:name w:val="Bullet"/>
    <w:pPr>
      <w:numPr>
        <w:numId w:val="1"/>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0"/>
      <w:szCs w:val="20"/>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