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Teachers who are dedicated to their profession and to improving the lives of students will continually look for ways to grow and learn. The best way to ensure that learning is prioritized is to create a professional development plan.</w:t>
      </w:r>
      <w:r>
        <w:rPr>
          <w:rFonts w:ascii="Trebuchet MS" w:hAnsi="Trebuchet MS" w:hint="default"/>
          <w:color w:val="545454"/>
          <w:sz w:val="26"/>
          <w:szCs w:val="26"/>
          <w:shd w:val="clear" w:color="auto" w:fill="ffffff"/>
          <w:rtl w:val="0"/>
        </w:rPr>
        <w:t> </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 xml:space="preserve">Using the </w:t>
      </w:r>
      <w:r>
        <w:rPr>
          <w:rFonts w:ascii="Trebuchet MS" w:hAnsi="Trebuchet MS" w:hint="default"/>
          <w:color w:val="545454"/>
          <w:sz w:val="26"/>
          <w:szCs w:val="26"/>
          <w:shd w:val="clear" w:color="auto" w:fill="ffffff"/>
          <w:rtl w:val="0"/>
        </w:rPr>
        <w:t>“</w:t>
      </w:r>
      <w:r>
        <w:rPr>
          <w:rFonts w:ascii="Trebuchet MS" w:hAnsi="Trebuchet MS"/>
          <w:color w:val="545454"/>
          <w:sz w:val="26"/>
          <w:szCs w:val="26"/>
          <w:shd w:val="clear" w:color="auto" w:fill="ffffff"/>
          <w:rtl w:val="0"/>
          <w:lang w:val="en-US"/>
        </w:rPr>
        <w:t>Professional Development Plan,</w:t>
      </w:r>
      <w:r>
        <w:rPr>
          <w:rFonts w:ascii="Trebuchet MS" w:hAnsi="Trebuchet MS" w:hint="default"/>
          <w:color w:val="545454"/>
          <w:sz w:val="26"/>
          <w:szCs w:val="26"/>
          <w:shd w:val="clear" w:color="auto" w:fill="ffffff"/>
          <w:rtl w:val="0"/>
        </w:rPr>
        <w:t xml:space="preserve">” </w:t>
      </w:r>
      <w:r>
        <w:rPr>
          <w:rFonts w:ascii="Trebuchet MS" w:hAnsi="Trebuchet MS"/>
          <w:color w:val="545454"/>
          <w:sz w:val="26"/>
          <w:szCs w:val="26"/>
          <w:shd w:val="clear" w:color="auto" w:fill="ffffff"/>
          <w:rtl w:val="0"/>
          <w:lang w:val="en-US"/>
        </w:rPr>
        <w:t>create a professional learning plan that can be implemented over your next 2-3 years of teaching. Begin by analyzing your teaching performance and clinical practice (student teaching) evaluations over the course of your student teaching experience and your program.</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Consider areas you would like to improve upon, focusing on those that would have the most effect on improving student outcomes.</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Create three professional goals and describe them in each section of the template.</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APA format is not required, but solid academic writing is expected.</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r>
        <w:rPr>
          <w:rFonts w:ascii="Trebuchet MS" w:hAnsi="Trebuchet MS"/>
          <w:color w:val="545454"/>
          <w:sz w:val="26"/>
          <w:szCs w:val="26"/>
          <w:shd w:val="clear" w:color="auto" w:fill="ffffff"/>
          <w:rtl w:val="0"/>
          <w:lang w:val="en-US"/>
        </w:rPr>
        <w:t>This assignment uses a rubric. Review the rubric prior to beginning the assignment to become familiar with the expectations for successful completion.</w:t>
      </w:r>
    </w:p>
    <w:p>
      <w:pPr>
        <w:pStyle w:val="Default"/>
        <w:bidi w:val="0"/>
        <w:ind w:left="0" w:right="0" w:firstLine="0"/>
        <w:jc w:val="left"/>
        <w:rPr>
          <w:rFonts w:ascii="Trebuchet MS" w:cs="Trebuchet MS" w:hAnsi="Trebuchet MS" w:eastAsia="Trebuchet MS"/>
          <w:color w:val="545454"/>
          <w:sz w:val="26"/>
          <w:szCs w:val="26"/>
          <w:shd w:val="clear" w:color="auto" w:fill="ffffff"/>
          <w:rtl w:val="0"/>
        </w:rPr>
      </w:pPr>
    </w:p>
    <w:p>
      <w:pPr>
        <w:pStyle w:val="Default"/>
        <w:bidi w:val="0"/>
        <w:ind w:left="0" w:right="0" w:firstLine="0"/>
        <w:jc w:val="left"/>
        <w:rPr>
          <w:rFonts w:ascii="Trebuchet MS" w:cs="Trebuchet MS" w:hAnsi="Trebuchet MS" w:eastAsia="Trebuchet MS"/>
          <w:b w:val="0"/>
          <w:bCs w:val="0"/>
          <w:color w:val="333333"/>
          <w:sz w:val="24"/>
          <w:szCs w:val="24"/>
          <w:shd w:val="clear" w:color="auto" w:fill="ffffff"/>
          <w:rtl w:val="0"/>
        </w:rPr>
      </w:pPr>
      <w:r>
        <w:rPr>
          <w:rFonts w:ascii="Trebuchet MS" w:hAnsi="Trebuchet MS"/>
          <w:b w:val="1"/>
          <w:bCs w:val="1"/>
          <w:color w:val="eb7600"/>
          <w:sz w:val="24"/>
          <w:szCs w:val="24"/>
          <w:shd w:val="clear" w:color="auto" w:fill="ffffff"/>
          <w:rtl w:val="0"/>
          <w:lang w:val="en-US"/>
        </w:rPr>
        <w:t xml:space="preserve">Professional Development Plan </w:t>
      </w:r>
    </w:p>
    <w:tbl>
      <w:tblPr>
        <w:tblW w:w="936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1783"/>
        <w:gridCol w:w="1345"/>
        <w:gridCol w:w="1377"/>
        <w:gridCol w:w="1384"/>
        <w:gridCol w:w="1394"/>
        <w:gridCol w:w="2077"/>
      </w:tblGrid>
      <w:tr>
        <w:tblPrEx>
          <w:shd w:val="clear" w:color="auto" w:fill="auto"/>
        </w:tblPrEx>
        <w:trPr>
          <w:trHeight w:val="1131" w:hRule="atLeast"/>
        </w:trPr>
        <w:tc>
          <w:tcPr>
            <w:tcW w:type="dxa" w:w="1783"/>
            <w:tcBorders>
              <w:top w:val="single" w:color="000000" w:sz="2" w:space="0" w:shadow="0" w:frame="0"/>
              <w:left w:val="single" w:color="000000" w:sz="2" w:space="0" w:shadow="0" w:frame="0"/>
              <w:bottom w:val="single" w:color="9ac5da" w:sz="6" w:space="0" w:shadow="0" w:frame="0"/>
              <w:right w:val="single" w:color="000000" w:sz="2" w:space="0" w:shadow="0" w:frame="0"/>
            </w:tcBorders>
            <w:shd w:val="clear" w:color="auto" w:fill="auto"/>
            <w:tcMar>
              <w:top w:type="dxa" w:w="80"/>
              <w:left w:type="dxa" w:w="0"/>
              <w:bottom w:type="dxa" w:w="80"/>
              <w:right w:type="dxa" w:w="0"/>
            </w:tcMar>
            <w:vAlign w:val="center"/>
          </w:tcPr>
          <w:p/>
        </w:tc>
        <w:tc>
          <w:tcPr>
            <w:tcW w:type="dxa" w:w="1345"/>
            <w:tcBorders>
              <w:top w:val="single" w:color="000000" w:sz="2" w:space="0" w:shadow="0" w:frame="0"/>
              <w:left w:val="single" w:color="000000" w:sz="2" w:space="0" w:shadow="0" w:frame="0"/>
              <w:bottom w:val="single" w:color="9ac5da" w:sz="6"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No Submission</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0.00%</w:t>
            </w:r>
          </w:p>
        </w:tc>
        <w:tc>
          <w:tcPr>
            <w:tcW w:type="dxa" w:w="13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2</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Insufficient</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65.00%</w:t>
            </w:r>
          </w:p>
        </w:tc>
        <w:tc>
          <w:tcPr>
            <w:tcW w:type="dxa" w:w="1384"/>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3</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Approaching</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75.00%</w:t>
            </w:r>
          </w:p>
        </w:tc>
        <w:tc>
          <w:tcPr>
            <w:tcW w:type="dxa" w:w="139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4</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Acceptable</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85.00%</w:t>
            </w:r>
          </w:p>
        </w:tc>
        <w:tc>
          <w:tcPr>
            <w:tcW w:type="dxa" w:w="2076"/>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0"/>
              <w:bottom w:type="dxa" w:w="80"/>
              <w:right w:type="dxa" w:w="0"/>
            </w:tcMar>
            <w:vAlign w:val="center"/>
          </w:tcPr>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5</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Target</w:t>
            </w:r>
          </w:p>
          <w:p>
            <w:pPr>
              <w:pStyle w:val="Table Style 2"/>
              <w:bidi w:val="0"/>
              <w:ind w:left="0" w:right="0" w:firstLine="0"/>
              <w:jc w:val="center"/>
              <w:rPr>
                <w:rtl w:val="0"/>
              </w:rPr>
            </w:pPr>
            <w:r>
              <w:rPr>
                <w:rFonts w:ascii="Trebuchet MS" w:hAnsi="Trebuchet MS"/>
                <w:b w:val="1"/>
                <w:bCs w:val="1"/>
                <w:color w:val="545454"/>
                <w:sz w:val="24"/>
                <w:szCs w:val="24"/>
                <w:shd w:val="clear" w:color="auto" w:fill="ffffff"/>
                <w:rtl w:val="0"/>
              </w:rPr>
              <w:t>100.00%</w:t>
            </w:r>
          </w:p>
        </w:tc>
      </w:tr>
      <w:tr>
        <w:tblPrEx>
          <w:shd w:val="clear" w:color="auto" w:fill="auto"/>
        </w:tblPrEx>
        <w:trPr>
          <w:trHeight w:val="577" w:hRule="atLeast"/>
        </w:trPr>
        <w:tc>
          <w:tcPr>
            <w:tcW w:type="dxa" w:w="1783"/>
            <w:tcBorders>
              <w:top w:val="single" w:color="9ac5da" w:sz="6" w:space="0" w:shadow="0" w:frame="0"/>
              <w:left w:val="single" w:color="9ac5da" w:sz="6" w:space="0" w:shadow="0" w:frame="0"/>
              <w:bottom w:val="single" w:color="9ac5da" w:sz="6" w:space="0" w:shadow="0" w:frame="0"/>
              <w:right w:val="single" w:color="9ac5da"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it-IT"/>
              </w:rPr>
              <w:t>Criteria</w:t>
            </w:r>
          </w:p>
        </w:tc>
        <w:tc>
          <w:tcPr>
            <w:tcW w:type="dxa" w:w="7576"/>
            <w:gridSpan w:val="5"/>
            <w:tcBorders>
              <w:top w:val="single" w:color="9ac5da" w:sz="6" w:space="0" w:shadow="0" w:frame="0"/>
              <w:left w:val="single" w:color="9ac5da" w:sz="6" w:space="0" w:shadow="0" w:frame="0"/>
              <w:bottom w:val="single" w:color="9ac5da" w:sz="6" w:space="0" w:shadow="0" w:frame="0"/>
              <w:right w:val="single" w:color="000000" w:sz="2" w:space="0" w:shadow="0" w:frame="0"/>
            </w:tcBorders>
            <w:shd w:val="clear" w:color="auto" w:fill="eeeeee"/>
            <w:tcMar>
              <w:top w:type="dxa" w:w="0"/>
              <w:left w:type="dxa" w:w="0"/>
              <w:bottom w:type="dxa" w:w="0"/>
              <w:right w:type="dxa" w:w="0"/>
            </w:tcMar>
            <w:vAlign w:val="center"/>
          </w:tcPr>
          <w:p/>
        </w:tc>
      </w:tr>
      <w:tr>
        <w:tblPrEx>
          <w:shd w:val="clear" w:color="auto" w:fill="auto"/>
        </w:tblPrEx>
        <w:trPr>
          <w:trHeight w:val="3657" w:hRule="atLeast"/>
        </w:trPr>
        <w:tc>
          <w:tcPr>
            <w:tcW w:type="dxa" w:w="1783"/>
            <w:tcBorders>
              <w:top w:val="single" w:color="9ac5da"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30.0 %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Professional Development Goals</w:t>
            </w:r>
          </w:p>
        </w:tc>
        <w:tc>
          <w:tcPr>
            <w:tcW w:type="dxa" w:w="1345"/>
            <w:tcBorders>
              <w:top w:val="single" w:color="9ac5da"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76"/>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is irrelevant or incomplete. It lacks support of how the goals will be completed.</w:t>
            </w:r>
          </w:p>
        </w:tc>
        <w:tc>
          <w:tcPr>
            <w:tcW w:type="dxa" w:w="1384"/>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has simple goals. Ideas for completing these goals are basic.</w:t>
            </w:r>
          </w:p>
        </w:tc>
        <w:tc>
          <w:tcPr>
            <w:tcW w:type="dxa" w:w="1393"/>
            <w:tcBorders>
              <w:top w:val="single" w:color="000000" w:sz="2"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has detailed and relevant goals. Ideas for completing these goals are reasonable.</w:t>
            </w:r>
          </w:p>
        </w:tc>
        <w:tc>
          <w:tcPr>
            <w:tcW w:type="dxa" w:w="2076"/>
            <w:tcBorders>
              <w:top w:val="single" w:color="000000" w:sz="2"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has in-depth and well-crafted goals. Ideas for completing these goals are exceptional and realistic.</w:t>
            </w:r>
          </w:p>
        </w:tc>
      </w:tr>
      <w:tr>
        <w:tblPrEx>
          <w:shd w:val="clear" w:color="auto" w:fill="auto"/>
        </w:tblPrEx>
        <w:trPr>
          <w:trHeight w:val="3097" w:hRule="atLeast"/>
        </w:trPr>
        <w:tc>
          <w:tcPr>
            <w:tcW w:type="dxa" w:w="1783"/>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da-DK"/>
              </w:rPr>
              <w:t>Timeline</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76"/>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timeline is unrealistic or incomplete.</w:t>
            </w:r>
          </w:p>
        </w:tc>
        <w:tc>
          <w:tcPr>
            <w:tcW w:type="dxa" w:w="13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has an adequate action timeline to complete professional learning goals.</w:t>
            </w:r>
          </w:p>
        </w:tc>
        <w:tc>
          <w:tcPr>
            <w:tcW w:type="dxa" w:w="1393"/>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has a reasonable action timeline to complete professional learning goals.</w:t>
            </w:r>
          </w:p>
        </w:tc>
        <w:tc>
          <w:tcPr>
            <w:tcW w:type="dxa" w:w="2076"/>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Professional Development Plan has a realistic and well thought-out action timeline to complete professional learning goals.</w:t>
            </w:r>
          </w:p>
        </w:tc>
      </w:tr>
      <w:tr>
        <w:tblPrEx>
          <w:shd w:val="clear" w:color="auto" w:fill="auto"/>
        </w:tblPrEx>
        <w:trPr>
          <w:trHeight w:val="3097" w:hRule="atLeast"/>
        </w:trPr>
        <w:tc>
          <w:tcPr>
            <w:tcW w:type="dxa" w:w="1783"/>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30.0 %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Available Resources</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76"/>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Available resources are incomplete or unrelated and do not assist in accomplishing the goals.</w:t>
            </w:r>
          </w:p>
        </w:tc>
        <w:tc>
          <w:tcPr>
            <w:tcW w:type="dxa" w:w="13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Available resources are basic and somewhat assist in accomplishing the goals.</w:t>
            </w:r>
          </w:p>
        </w:tc>
        <w:tc>
          <w:tcPr>
            <w:tcW w:type="dxa" w:w="1393"/>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Available resources are clear and assist in accomplishing the goals.</w:t>
            </w:r>
          </w:p>
        </w:tc>
        <w:tc>
          <w:tcPr>
            <w:tcW w:type="dxa" w:w="2076"/>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Available resources are substantial and proficiently assist in accomplishing the goals.</w:t>
            </w:r>
          </w:p>
        </w:tc>
      </w:tr>
      <w:tr>
        <w:tblPrEx>
          <w:shd w:val="clear" w:color="auto" w:fill="auto"/>
        </w:tblPrEx>
        <w:trPr>
          <w:trHeight w:val="6177" w:hRule="atLeast"/>
        </w:trPr>
        <w:tc>
          <w:tcPr>
            <w:tcW w:type="dxa" w:w="1783"/>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f6f6f6"/>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20.0 %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Mechanics of Writing (includes spelling, punctuation, grammar, and language use)</w:t>
            </w:r>
          </w:p>
        </w:tc>
        <w:tc>
          <w:tcPr>
            <w:tcW w:type="dxa" w:w="1345"/>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Not addressed.</w:t>
            </w:r>
          </w:p>
        </w:tc>
        <w:tc>
          <w:tcPr>
            <w:tcW w:type="dxa" w:w="1376"/>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Surface errors are pervasive enough that they impede communication of meaning. Inappropriate word choice or sentence construction are used.</w:t>
            </w:r>
          </w:p>
        </w:tc>
        <w:tc>
          <w:tcPr>
            <w:tcW w:type="dxa" w:w="1384"/>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includes mechanical errors, but they do not hinder comprehension. Effective sentence structures are used, as well as some practice and content-related language.</w:t>
            </w:r>
          </w:p>
        </w:tc>
        <w:tc>
          <w:tcPr>
            <w:tcW w:type="dxa" w:w="1393"/>
            <w:tcBorders>
              <w:top w:val="single" w:color="d0d0d0" w:sz="6" w:space="0" w:shadow="0" w:frame="0"/>
              <w:left w:val="single" w:color="d0d0d0" w:sz="6" w:space="0" w:shadow="0" w:frame="0"/>
              <w:bottom w:val="single" w:color="d0d0d0" w:sz="6" w:space="0" w:shadow="0" w:frame="0"/>
              <w:right w:val="single" w:color="d0d0d0" w:sz="6"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is largely free of mechanical errors, although a few are present. A variety of effective sentence structures and figures of speech are used, as well as appropriate practice and content-related language.</w:t>
            </w:r>
          </w:p>
        </w:tc>
        <w:tc>
          <w:tcPr>
            <w:tcW w:type="dxa" w:w="2076"/>
            <w:tcBorders>
              <w:top w:val="single" w:color="d0d0d0" w:sz="6" w:space="0" w:shadow="0" w:frame="0"/>
              <w:left w:val="single" w:color="d0d0d0" w:sz="6" w:space="0" w:shadow="0" w:frame="0"/>
              <w:bottom w:val="single" w:color="d0d0d0" w:sz="6" w:space="0" w:shadow="0" w:frame="0"/>
              <w:right w:val="single" w:color="000000" w:sz="2" w:space="0" w:shadow="0" w:frame="0"/>
            </w:tcBorders>
            <w:shd w:val="clear" w:color="auto" w:fill="eeeeee"/>
            <w:tcMar>
              <w:top w:type="dxa" w:w="0"/>
              <w:left w:type="dxa" w:w="0"/>
              <w:bottom w:type="dxa" w:w="0"/>
              <w:right w:type="dxa" w:w="0"/>
            </w:tcMar>
            <w:vAlign w:val="top"/>
          </w:tcPr>
          <w:p>
            <w:pPr>
              <w:pStyle w:val="Table Style 2"/>
              <w:bidi w:val="0"/>
              <w:ind w:left="0" w:right="0" w:firstLine="0"/>
              <w:jc w:val="left"/>
              <w:rPr>
                <w:rtl w:val="0"/>
              </w:rPr>
            </w:pPr>
            <w:r>
              <w:rPr>
                <w:rFonts w:ascii="Trebuchet MS" w:hAnsi="Trebuchet MS"/>
                <w:color w:val="545454"/>
                <w:sz w:val="24"/>
                <w:szCs w:val="24"/>
                <w:shd w:val="clear" w:color="auto" w:fill="ffffff"/>
                <w:rtl w:val="0"/>
              </w:rPr>
              <w:t>Submission is virtually free of mechanical errors. Word choice reflects well-developed use of practice and content-related language. Sentence structures are varied and engaging.</w:t>
            </w:r>
          </w:p>
        </w:tc>
      </w:tr>
      <w:tr>
        <w:tblPrEx>
          <w:shd w:val="clear" w:color="auto" w:fill="auto"/>
        </w:tblPrEx>
        <w:trPr>
          <w:trHeight w:val="851" w:hRule="atLeast"/>
        </w:trPr>
        <w:tc>
          <w:tcPr>
            <w:tcW w:type="dxa" w:w="1783"/>
            <w:tcBorders>
              <w:top w:val="single" w:color="d0d0d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0"/>
              <w:bottom w:type="dxa" w:w="0"/>
              <w:right w:type="dxa" w:w="0"/>
            </w:tcMar>
            <w:vAlign w:val="top"/>
          </w:tcPr>
          <w:p>
            <w:pPr>
              <w:pStyle w:val="Table Style 2"/>
              <w:bidi w:val="0"/>
              <w:ind w:left="0" w:right="0" w:firstLine="0"/>
              <w:jc w:val="left"/>
              <w:rPr>
                <w:rFonts w:ascii="Trebuchet MS" w:cs="Trebuchet MS" w:hAnsi="Trebuchet MS" w:eastAsia="Trebuchet MS"/>
                <w:b w:val="1"/>
                <w:bCs w:val="1"/>
                <w:color w:val="000000"/>
                <w:sz w:val="24"/>
                <w:szCs w:val="24"/>
                <w:shd w:val="clear" w:color="auto" w:fill="ffffff"/>
                <w:rtl w:val="0"/>
              </w:rPr>
            </w:pPr>
            <w:r>
              <w:rPr>
                <w:rFonts w:ascii="Trebuchet MS" w:hAnsi="Trebuchet MS"/>
                <w:b w:val="1"/>
                <w:bCs w:val="1"/>
                <w:color w:val="545454"/>
                <w:sz w:val="24"/>
                <w:szCs w:val="24"/>
                <w:shd w:val="clear" w:color="auto" w:fill="ffffff"/>
                <w:rtl w:val="0"/>
              </w:rPr>
              <w:t>100 %</w:t>
            </w:r>
          </w:p>
          <w:p>
            <w:pPr>
              <w:pStyle w:val="Table Style 2"/>
              <w:bidi w:val="0"/>
              <w:ind w:left="0" w:right="0" w:firstLine="0"/>
              <w:jc w:val="left"/>
              <w:rPr>
                <w:rtl w:val="0"/>
              </w:rPr>
            </w:pPr>
            <w:r>
              <w:rPr>
                <w:rFonts w:ascii="Trebuchet MS" w:hAnsi="Trebuchet MS"/>
                <w:b w:val="1"/>
                <w:bCs w:val="1"/>
                <w:color w:val="545454"/>
                <w:sz w:val="24"/>
                <w:szCs w:val="24"/>
                <w:shd w:val="clear" w:color="auto" w:fill="ffffff"/>
                <w:rtl w:val="0"/>
                <w:lang w:val="en-US"/>
              </w:rPr>
              <w:t>Total Weightage</w:t>
            </w:r>
          </w:p>
        </w:tc>
        <w:tc>
          <w:tcPr>
            <w:tcW w:type="dxa" w:w="7576"/>
            <w:gridSpan w:val="5"/>
            <w:tcBorders>
              <w:top w:val="single" w:color="d0d0d0" w:sz="6" w:space="0" w:shadow="0" w:frame="0"/>
              <w:left w:val="single" w:color="000000" w:sz="2" w:space="0" w:shadow="0" w:frame="0"/>
              <w:bottom w:val="single" w:color="000000" w:sz="2" w:space="0" w:shadow="0" w:frame="0"/>
              <w:right w:val="single" w:color="000000" w:sz="2" w:space="0" w:shadow="0" w:frame="0"/>
            </w:tcBorders>
            <w:shd w:val="clear" w:color="auto" w:fill="auto"/>
            <w:tcMar>
              <w:top w:type="dxa" w:w="0"/>
              <w:left w:type="dxa" w:w="0"/>
              <w:bottom w:type="dxa" w:w="0"/>
              <w:right w:type="dxa" w:w="0"/>
            </w:tcMar>
            <w:vAlign w:val="top"/>
          </w:tcPr>
          <w:p/>
        </w:tc>
      </w:tr>
    </w:tbl>
    <w:p>
      <w:pPr>
        <w:pStyle w:val="Default"/>
        <w:bidi w:val="0"/>
        <w:ind w:left="0" w:right="0" w:firstLine="0"/>
        <w:jc w:val="left"/>
        <w:rPr>
          <w:rtl w:val="0"/>
        </w:rPr>
      </w:pPr>
      <w:r>
        <w:rPr>
          <w:rFonts w:ascii="Trebuchet MS" w:cs="Trebuchet MS" w:hAnsi="Trebuchet MS" w:eastAsia="Trebuchet MS"/>
          <w:color w:val="333333"/>
          <w:sz w:val="24"/>
          <w:szCs w:val="24"/>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0"/>
      <w:szCs w:val="20"/>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