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7E1" w:rsidRDefault="009307E1" w:rsidP="009307E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Cost Analysis and Profitability</w:t>
      </w:r>
      <w:r w:rsidR="002970C1">
        <w:rPr>
          <w:rFonts w:ascii="Times New Roman" w:eastAsia="Times New Roman" w:hAnsi="Times New Roman" w:cs="Times New Roman"/>
          <w:sz w:val="24"/>
          <w:szCs w:val="24"/>
        </w:rPr>
        <w:t xml:space="preserve"> for Physicians</w:t>
      </w:r>
    </w:p>
    <w:p w:rsidR="00D53546" w:rsidRPr="00D53546" w:rsidRDefault="00D53546" w:rsidP="009307E1">
      <w:pPr>
        <w:spacing w:line="480" w:lineRule="auto"/>
        <w:jc w:val="center"/>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Name:</w:t>
      </w:r>
    </w:p>
    <w:p w:rsidR="00D53546" w:rsidRPr="00D53546" w:rsidRDefault="00D53546" w:rsidP="009307E1">
      <w:pPr>
        <w:spacing w:line="480" w:lineRule="auto"/>
        <w:jc w:val="center"/>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Professor:</w:t>
      </w:r>
    </w:p>
    <w:p w:rsidR="00D53546" w:rsidRPr="00D53546" w:rsidRDefault="00D53546" w:rsidP="009307E1">
      <w:pPr>
        <w:spacing w:line="480" w:lineRule="auto"/>
        <w:jc w:val="center"/>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Course title:</w:t>
      </w:r>
    </w:p>
    <w:p w:rsidR="00D53546" w:rsidRPr="00D53546" w:rsidRDefault="00D53546" w:rsidP="009307E1">
      <w:pPr>
        <w:spacing w:line="480" w:lineRule="auto"/>
        <w:jc w:val="center"/>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Institution:</w:t>
      </w:r>
    </w:p>
    <w:p w:rsidR="00D53546" w:rsidRDefault="00D53546" w:rsidP="009307E1">
      <w:pPr>
        <w:spacing w:line="480" w:lineRule="auto"/>
        <w:jc w:val="center"/>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Date:</w:t>
      </w:r>
    </w:p>
    <w:p w:rsidR="00D53546" w:rsidRDefault="00D5354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53546" w:rsidRP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lastRenderedPageBreak/>
        <w:t>Every organization seeks to remain profitable with minimum cost whilst providing the best services to its clients. This makes it imperative for the organization to understand the implications of costs in making decisions. Physicians need to comprehend the cost behaviors at different levels of service provision. This means understanding trends from the individual doctor-patient encounter to managerial macro allocative decisions. This essential especially when working within the confines of scarce resources. Cost analysis, planning, monitoring, and evaluating health activities is what determines how successful it turns out to be</w:t>
      </w:r>
      <w:r w:rsidR="00F7520D">
        <w:rPr>
          <w:rFonts w:ascii="Times New Roman" w:eastAsia="Times New Roman" w:hAnsi="Times New Roman" w:cs="Times New Roman"/>
          <w:sz w:val="24"/>
          <w:szCs w:val="24"/>
        </w:rPr>
        <w:t>(Scheidt,2005)</w:t>
      </w:r>
      <w:r w:rsidRPr="00D53546">
        <w:rPr>
          <w:rFonts w:ascii="Times New Roman" w:eastAsia="Times New Roman" w:hAnsi="Times New Roman" w:cs="Times New Roman"/>
          <w:sz w:val="24"/>
          <w:szCs w:val="24"/>
        </w:rPr>
        <w:t>. With the current changes in remuneration systems, physicians need to understand the actual costs of different services and their profitability over others. With a proper analysis based on the relative variable unit</w:t>
      </w:r>
      <w:r>
        <w:rPr>
          <w:rFonts w:ascii="Times New Roman" w:eastAsia="Times New Roman" w:hAnsi="Times New Roman" w:cs="Times New Roman"/>
          <w:sz w:val="24"/>
          <w:szCs w:val="24"/>
        </w:rPr>
        <w:t xml:space="preserve"> </w:t>
      </w:r>
      <w:r w:rsidRPr="00D53546">
        <w:rPr>
          <w:rFonts w:ascii="Times New Roman" w:eastAsia="Times New Roman" w:hAnsi="Times New Roman" w:cs="Times New Roman"/>
          <w:sz w:val="24"/>
          <w:szCs w:val="24"/>
        </w:rPr>
        <w:t>(RVU), a physician can make viable decisions on contracts to partake.</w:t>
      </w:r>
    </w:p>
    <w:p w:rsidR="00D53546" w:rsidRP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 xml:space="preserve"> The RVU is a metric to assess work practice and malpractice. These are the inputs required to carry out a procedure. It measures the amount of work that the practitioner does, the expense incurred, and liability insurance expense. Each visit is to the healthcare facility is defined by a code, the common procedural terminology(CPT) code and there are set procedural codes that are used in the billing process. For Lovely life, it takes 5 units of input to produce a service(CPT code).</w:t>
      </w:r>
    </w:p>
    <w:p w:rsid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 xml:space="preserve">To obtain the average cost per RVU, we use the differences in total costs incurred and the lowest cost incurred: 950,000 and 750000 respectively. This difference is divided by the corresponding difference in the RVUS produced when the highest and lowest costs were incurred. The quotient of the difference in costs and differences in RVUs produces the variable cost for one RVU. This is translated as the cost of one production input unit.  For Lovely Life, it is 66.6667. It is necessary to establish the fixed costs which are the difference between the highest cost incurred and the total cost of variable inputs incurred. The total cost of variable inputs is the product of variable cost per RVU and the highest number of RVUs recorded, in this case, 14000.  The fixed cost for Lovely </w:t>
      </w:r>
      <w:r w:rsidRPr="00D53546">
        <w:rPr>
          <w:rFonts w:ascii="Times New Roman" w:eastAsia="Times New Roman" w:hAnsi="Times New Roman" w:cs="Times New Roman"/>
          <w:sz w:val="24"/>
          <w:szCs w:val="24"/>
        </w:rPr>
        <w:lastRenderedPageBreak/>
        <w:t>life is 16666.67. These fixed costs remain constant at any given point of practice e.g rent. The total cost is the sum of the fixed costs(16666.67) and the total input cost which is a product of the number of RVUs per CPT and the cost per RVU(5*66.6667). In this case, it is 17000.</w:t>
      </w:r>
    </w:p>
    <w:p w:rsidR="00C9750C" w:rsidRPr="00D53546" w:rsidRDefault="00C9750C" w:rsidP="00D5354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object w:dxaOrig="7247" w:dyaOrig="2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36.6pt;height:150.95pt;z-index:251659264;mso-position-horizontal:left;mso-position-horizontal-relative:text;mso-position-vertical-relative:text">
            <v:imagedata r:id="rId6" o:title=""/>
            <w10:wrap type="square" side="right"/>
          </v:shape>
          <o:OLEObject Type="Embed" ProgID="Excel.Sheet.12" ShapeID="_x0000_s1026" DrawAspect="Content" ObjectID="_1649702088" r:id="rId7"/>
        </w:object>
      </w:r>
      <w:r>
        <w:rPr>
          <w:rFonts w:ascii="Times New Roman" w:eastAsia="Times New Roman" w:hAnsi="Times New Roman" w:cs="Times New Roman"/>
          <w:sz w:val="24"/>
          <w:szCs w:val="24"/>
        </w:rPr>
        <w:br w:type="textWrapping" w:clear="all"/>
      </w:r>
    </w:p>
    <w:p w:rsidR="00D53546" w:rsidRP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To obtain the average total cost per RVU, the projected number of RVUs is used. The projected number of RVUs for Lovely life is 10000. The first is to obtain the total variable cost for the projected RVUs, which a product of the projected RVUs and the variable cost per RVU. The total variable cost for the projected RVUs is added to the fixed cost and the sum is divided by the number of projected RVUs. Lovely Life has its average cost per RVU as 68.33333. The marginal cost per RVU is equal to the variable cost per RVUs. This is the extra post per unit of input. The total marginal cost per CPT is a product of the number of RVUs and the variable cost per RVU. For Lovely Life, it is 333.33335.</w:t>
      </w:r>
    </w:p>
    <w:p w:rsidR="00D53546" w:rsidRP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 xml:space="preserve">In this case, an analysis of the RVU for the fiscal year 2016 for Lovely Life LLC is done. The historical costs were $750,000 when 11,000 RVUs were produced and $950,000 when 14,000 RVUs were produced. The contract specifies that the number of RVUs per service CPT code is five and the projected RVUs for the coming year is 10,000. Assuming that Lovely Life is operating at Pareto efficiency, then there is an option to take up additional contracts to replace the existing </w:t>
      </w:r>
      <w:r w:rsidRPr="00D53546">
        <w:rPr>
          <w:rFonts w:ascii="Times New Roman" w:eastAsia="Times New Roman" w:hAnsi="Times New Roman" w:cs="Times New Roman"/>
          <w:sz w:val="24"/>
          <w:szCs w:val="24"/>
        </w:rPr>
        <w:lastRenderedPageBreak/>
        <w:t>or just expand the practice. For LLC to accept a contract, the reimbursement that the project generates should have an acceptable margin above 68.33333 the average practice cost per procedure done. Accepting a lower offer will take a negative toll on the business making it difficult to recover the fixed costs due to the low margins. Additionally accepting a contract whose execution requires more physicians, then the contract is liable to provide adequate volume and reimbursement that commensurate to the excess costs. Specifically, if any contract doesn't wholly cater for the costs of service delivery, no matter how lucrative the additional aspects are, it is not feasible. The marginal cost is an important measure especially if the practice is operating at less than full capacity. Lovely Life LLC can take up a contract above 66.66667, which is its marginal cost per RVU if it's operating at less than full capacity. LLC can compromise the expected profit margin to take care of its existing fixed costs.</w:t>
      </w:r>
    </w:p>
    <w:p w:rsidR="00D53546" w:rsidRPr="00D53546"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 xml:space="preserve"> With the current remuneration arrangements, bonuses play a great role in the final figure that a physician receives. In a provider preferred organization</w:t>
      </w:r>
      <w:r w:rsidR="00876A52">
        <w:rPr>
          <w:rFonts w:ascii="Times New Roman" w:eastAsia="Times New Roman" w:hAnsi="Times New Roman" w:cs="Times New Roman"/>
          <w:sz w:val="24"/>
          <w:szCs w:val="24"/>
        </w:rPr>
        <w:t xml:space="preserve"> </w:t>
      </w:r>
      <w:r w:rsidRPr="00D53546">
        <w:rPr>
          <w:rFonts w:ascii="Times New Roman" w:eastAsia="Times New Roman" w:hAnsi="Times New Roman" w:cs="Times New Roman"/>
          <w:sz w:val="24"/>
          <w:szCs w:val="24"/>
        </w:rPr>
        <w:t>(PPO), RVU cost data is necessary for a bonus allocation.  The allocation process may prove difficult especially if it is as a percentage of the patients they treat especially because procedures performed and patients are varied. The RVU per physician is an important measure when resolving this. A comparison of this RVU to the total practice RVUs provided a fair measure and subsequently fair remuneration. It gives a correct reflection of productivity.</w:t>
      </w:r>
    </w:p>
    <w:p w:rsidR="006D2028" w:rsidRDefault="00D53546" w:rsidP="00D53546">
      <w:pPr>
        <w:spacing w:line="480" w:lineRule="auto"/>
        <w:jc w:val="both"/>
        <w:rPr>
          <w:rFonts w:ascii="Times New Roman" w:eastAsia="Times New Roman" w:hAnsi="Times New Roman" w:cs="Times New Roman"/>
          <w:sz w:val="24"/>
          <w:szCs w:val="24"/>
        </w:rPr>
      </w:pPr>
      <w:r w:rsidRPr="00D53546">
        <w:rPr>
          <w:rFonts w:ascii="Times New Roman" w:eastAsia="Times New Roman" w:hAnsi="Times New Roman" w:cs="Times New Roman"/>
          <w:sz w:val="24"/>
          <w:szCs w:val="24"/>
        </w:rPr>
        <w:t xml:space="preserve"> To offer any quality services the costs of the institution must be evaluated. For physicians, the RVU forms a better way to estimate part of its variable costs</w:t>
      </w:r>
      <w:r w:rsidR="00DC189B">
        <w:rPr>
          <w:rFonts w:ascii="Times New Roman" w:eastAsia="Times New Roman" w:hAnsi="Times New Roman" w:cs="Times New Roman"/>
          <w:sz w:val="24"/>
          <w:szCs w:val="24"/>
        </w:rPr>
        <w:t>(</w:t>
      </w:r>
      <w:r w:rsidR="001875C8">
        <w:rPr>
          <w:rFonts w:ascii="Times New Roman" w:eastAsia="Times New Roman" w:hAnsi="Times New Roman" w:cs="Times New Roman"/>
          <w:sz w:val="24"/>
          <w:szCs w:val="24"/>
        </w:rPr>
        <w:t>Zwierlein,2020)</w:t>
      </w:r>
      <w:r w:rsidRPr="00D53546">
        <w:rPr>
          <w:rFonts w:ascii="Times New Roman" w:eastAsia="Times New Roman" w:hAnsi="Times New Roman" w:cs="Times New Roman"/>
          <w:sz w:val="24"/>
          <w:szCs w:val="24"/>
        </w:rPr>
        <w:t xml:space="preserve">. This is an easier way to value procedures that the practitioners' performance. If the Lovely Life LLC decides not to take up a contract but to expand. Then for each unit expansion, there will be an additional cost.  Any expansion whose marginal cost is above the current marginal cost of 66.6667 may require </w:t>
      </w:r>
      <w:r w:rsidRPr="00D53546">
        <w:rPr>
          <w:rFonts w:ascii="Times New Roman" w:eastAsia="Times New Roman" w:hAnsi="Times New Roman" w:cs="Times New Roman"/>
          <w:sz w:val="24"/>
          <w:szCs w:val="24"/>
        </w:rPr>
        <w:lastRenderedPageBreak/>
        <w:t>deeper consultation. It is only the marginal costs and average costs that can determine the viability of a contract in the current billing system which attaches the cost of practice to the product cost out.</w:t>
      </w:r>
    </w:p>
    <w:p w:rsidR="00C9750C" w:rsidRDefault="00C9750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9750C" w:rsidRDefault="00C9750C" w:rsidP="00D5354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C9750C" w:rsidRDefault="004A4C67" w:rsidP="00D53546">
      <w:pPr>
        <w:spacing w:line="480" w:lineRule="auto"/>
        <w:jc w:val="both"/>
        <w:rPr>
          <w:rFonts w:ascii="Times New Roman" w:eastAsia="Times New Roman" w:hAnsi="Times New Roman" w:cs="Times New Roman"/>
          <w:sz w:val="24"/>
          <w:szCs w:val="24"/>
        </w:rPr>
      </w:pPr>
      <w:r w:rsidRPr="004A4C67">
        <w:rPr>
          <w:rFonts w:ascii="Times New Roman" w:eastAsia="Times New Roman" w:hAnsi="Times New Roman" w:cs="Times New Roman"/>
          <w:sz w:val="24"/>
          <w:szCs w:val="24"/>
        </w:rPr>
        <w:t>Scheidt, M., &amp; Thibadoux, G. (2005). How management accountants make physicians' practices more profitable. Management Accounting Quarterly, 6(3), 12.</w:t>
      </w:r>
    </w:p>
    <w:p w:rsidR="00D22CBC" w:rsidRPr="00961C9E" w:rsidRDefault="001875C8" w:rsidP="00D53546">
      <w:pPr>
        <w:spacing w:line="480" w:lineRule="auto"/>
        <w:jc w:val="both"/>
        <w:rPr>
          <w:rFonts w:ascii="Times New Roman" w:eastAsia="Times New Roman" w:hAnsi="Times New Roman" w:cs="Times New Roman"/>
          <w:sz w:val="24"/>
          <w:szCs w:val="24"/>
        </w:rPr>
      </w:pPr>
      <w:r w:rsidRPr="001875C8">
        <w:rPr>
          <w:rFonts w:ascii="Times New Roman" w:eastAsia="Times New Roman" w:hAnsi="Times New Roman" w:cs="Times New Roman"/>
          <w:sz w:val="24"/>
          <w:szCs w:val="24"/>
        </w:rPr>
        <w:t>Zwierlein, R., Portenhauser, F., Flägel, K., &amp; Steinhäuser, J. (2020). Determinants of Setting up a General Practice-a Qualitative Study. Gesundheitswesen (Bundesverband der Arzte des Offentlichen</w:t>
      </w:r>
      <w:r w:rsidR="00961C9E">
        <w:rPr>
          <w:rFonts w:ascii="Times New Roman" w:eastAsia="Times New Roman" w:hAnsi="Times New Roman" w:cs="Times New Roman"/>
          <w:sz w:val="24"/>
          <w:szCs w:val="24"/>
        </w:rPr>
        <w:t xml:space="preserve"> Gesundheitsdienstes (Germany)</w:t>
      </w:r>
      <w:bookmarkStart w:id="0" w:name="_GoBack"/>
      <w:bookmarkEnd w:id="0"/>
    </w:p>
    <w:sectPr w:rsidR="00D22CBC" w:rsidRPr="00961C9E" w:rsidSect="009307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720" w:rsidRDefault="00922720" w:rsidP="009307E1">
      <w:pPr>
        <w:spacing w:after="0" w:line="240" w:lineRule="auto"/>
      </w:pPr>
      <w:r>
        <w:separator/>
      </w:r>
    </w:p>
  </w:endnote>
  <w:endnote w:type="continuationSeparator" w:id="0">
    <w:p w:rsidR="00922720" w:rsidRDefault="00922720" w:rsidP="00930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720" w:rsidRDefault="00922720" w:rsidP="009307E1">
      <w:pPr>
        <w:spacing w:after="0" w:line="240" w:lineRule="auto"/>
      </w:pPr>
      <w:r>
        <w:separator/>
      </w:r>
    </w:p>
  </w:footnote>
  <w:footnote w:type="continuationSeparator" w:id="0">
    <w:p w:rsidR="00922720" w:rsidRDefault="00922720" w:rsidP="009307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893940"/>
      <w:docPartObj>
        <w:docPartGallery w:val="Page Numbers (Top of Page)"/>
        <w:docPartUnique/>
      </w:docPartObj>
    </w:sdtPr>
    <w:sdtEndPr>
      <w:rPr>
        <w:noProof/>
      </w:rPr>
    </w:sdtEndPr>
    <w:sdtContent>
      <w:p w:rsidR="00C9750C" w:rsidRDefault="00C9750C">
        <w:pPr>
          <w:pStyle w:val="Header"/>
          <w:jc w:val="right"/>
        </w:pPr>
        <w:r w:rsidRPr="009307E1">
          <w:rPr>
            <w:rFonts w:ascii="Times New Roman" w:hAnsi="Times New Roman" w:cs="Times New Roman"/>
            <w:sz w:val="24"/>
            <w:szCs w:val="24"/>
          </w:rPr>
          <w:t>MANAGEMENT ACCOUNTING</w:t>
        </w:r>
        <w:r>
          <w:t xml:space="preserve">                                                                                                                     </w:t>
        </w:r>
        <w:r>
          <w:fldChar w:fldCharType="begin"/>
        </w:r>
        <w:r>
          <w:instrText xml:space="preserve"> PAGE   \* MERGEFORMAT </w:instrText>
        </w:r>
        <w:r>
          <w:fldChar w:fldCharType="separate"/>
        </w:r>
        <w:r w:rsidR="00961C9E">
          <w:rPr>
            <w:noProof/>
          </w:rPr>
          <w:t>6</w:t>
        </w:r>
        <w:r>
          <w:rPr>
            <w:noProof/>
          </w:rPr>
          <w:fldChar w:fldCharType="end"/>
        </w:r>
      </w:p>
    </w:sdtContent>
  </w:sdt>
  <w:p w:rsidR="00C9750C" w:rsidRDefault="00C975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750C" w:rsidRPr="002970C1" w:rsidRDefault="00C9750C">
    <w:pPr>
      <w:pStyle w:val="Header"/>
      <w:rPr>
        <w:rFonts w:ascii="Times New Roman" w:hAnsi="Times New Roman" w:cs="Times New Roman"/>
        <w:sz w:val="24"/>
        <w:szCs w:val="24"/>
      </w:rPr>
    </w:pPr>
    <w:r>
      <w:t xml:space="preserve">Running head: </w:t>
    </w:r>
    <w:r w:rsidRPr="002970C1">
      <w:rPr>
        <w:rFonts w:ascii="Times New Roman" w:hAnsi="Times New Roman" w:cs="Times New Roman"/>
        <w:sz w:val="24"/>
        <w:szCs w:val="24"/>
      </w:rPr>
      <w:t>COST ANALYSIS AND PROFITABILITY</w:t>
    </w:r>
    <w:r w:rsidRPr="002970C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zNjQwszQ1MjAzMDNR0lEKTi0uzszPAykwrAUAhbtCKSwAAAA="/>
  </w:docVars>
  <w:rsids>
    <w:rsidRoot w:val="003633A1"/>
    <w:rsid w:val="000E3099"/>
    <w:rsid w:val="001875C8"/>
    <w:rsid w:val="001A102F"/>
    <w:rsid w:val="002640DD"/>
    <w:rsid w:val="002970C1"/>
    <w:rsid w:val="003633A1"/>
    <w:rsid w:val="003E19FB"/>
    <w:rsid w:val="00497C8E"/>
    <w:rsid w:val="004A4C67"/>
    <w:rsid w:val="004A5F61"/>
    <w:rsid w:val="00536E9D"/>
    <w:rsid w:val="006273C4"/>
    <w:rsid w:val="006D2028"/>
    <w:rsid w:val="00716806"/>
    <w:rsid w:val="007313C9"/>
    <w:rsid w:val="00756CA3"/>
    <w:rsid w:val="007C2739"/>
    <w:rsid w:val="00853513"/>
    <w:rsid w:val="00856CB8"/>
    <w:rsid w:val="008747B0"/>
    <w:rsid w:val="00876A52"/>
    <w:rsid w:val="00892C0B"/>
    <w:rsid w:val="00922720"/>
    <w:rsid w:val="009307E1"/>
    <w:rsid w:val="00961C9E"/>
    <w:rsid w:val="00A214AA"/>
    <w:rsid w:val="00A23718"/>
    <w:rsid w:val="00A32B0F"/>
    <w:rsid w:val="00A659DE"/>
    <w:rsid w:val="00AC2173"/>
    <w:rsid w:val="00AE7C5A"/>
    <w:rsid w:val="00AE7CF0"/>
    <w:rsid w:val="00AF7642"/>
    <w:rsid w:val="00B44EB1"/>
    <w:rsid w:val="00BA0BA9"/>
    <w:rsid w:val="00C9750C"/>
    <w:rsid w:val="00D22CBC"/>
    <w:rsid w:val="00D53546"/>
    <w:rsid w:val="00D64FCA"/>
    <w:rsid w:val="00DC189B"/>
    <w:rsid w:val="00DF5917"/>
    <w:rsid w:val="00E00D11"/>
    <w:rsid w:val="00F7520D"/>
    <w:rsid w:val="00FB3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F28582-5A7A-49ED-A734-9FFC079A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33A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0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7E1"/>
  </w:style>
  <w:style w:type="paragraph" w:styleId="Footer">
    <w:name w:val="footer"/>
    <w:basedOn w:val="Normal"/>
    <w:link w:val="FooterChar"/>
    <w:uiPriority w:val="99"/>
    <w:unhideWhenUsed/>
    <w:rsid w:val="00930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1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package" Target="embeddings/Microsoft_Excel_Worksheet1.xls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6</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15</cp:revision>
  <dcterms:created xsi:type="dcterms:W3CDTF">2020-04-29T10:51:00Z</dcterms:created>
  <dcterms:modified xsi:type="dcterms:W3CDTF">2020-04-29T18:48:00Z</dcterms:modified>
</cp:coreProperties>
</file>