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0C0" w:rsidRDefault="00F500C0" w:rsidP="00EA2BE6">
      <w:pPr>
        <w:shd w:val="clear" w:color="auto" w:fill="FFFFFF"/>
        <w:spacing w:after="75" w:line="480" w:lineRule="auto"/>
        <w:rPr>
          <w:rFonts w:ascii="Times New Roman" w:eastAsia="Times New Roman" w:hAnsi="Times New Roman" w:cs="Times New Roman"/>
          <w:color w:val="333333"/>
          <w:sz w:val="24"/>
          <w:szCs w:val="24"/>
        </w:rPr>
      </w:pPr>
    </w:p>
    <w:p w:rsidR="00F500C0" w:rsidRDefault="00F500C0" w:rsidP="00EA2BE6">
      <w:pPr>
        <w:shd w:val="clear" w:color="auto" w:fill="FFFFFF"/>
        <w:spacing w:after="75" w:line="480" w:lineRule="auto"/>
        <w:rPr>
          <w:rFonts w:ascii="Times New Roman" w:eastAsia="Times New Roman" w:hAnsi="Times New Roman" w:cs="Times New Roman"/>
          <w:color w:val="333333"/>
          <w:sz w:val="24"/>
          <w:szCs w:val="24"/>
        </w:rPr>
      </w:pPr>
    </w:p>
    <w:p w:rsidR="00F500C0" w:rsidRDefault="00F500C0" w:rsidP="00EA2BE6">
      <w:pPr>
        <w:shd w:val="clear" w:color="auto" w:fill="FFFFFF"/>
        <w:spacing w:after="75" w:line="480" w:lineRule="auto"/>
        <w:rPr>
          <w:rFonts w:ascii="Times New Roman" w:eastAsia="Times New Roman" w:hAnsi="Times New Roman" w:cs="Times New Roman"/>
          <w:color w:val="333333"/>
          <w:sz w:val="24"/>
          <w:szCs w:val="24"/>
        </w:rPr>
      </w:pPr>
    </w:p>
    <w:p w:rsidR="00F500C0" w:rsidRDefault="00F500C0" w:rsidP="00EA2BE6">
      <w:pPr>
        <w:shd w:val="clear" w:color="auto" w:fill="FFFFFF"/>
        <w:spacing w:after="75" w:line="480" w:lineRule="auto"/>
        <w:rPr>
          <w:rFonts w:ascii="Times New Roman" w:eastAsia="Times New Roman" w:hAnsi="Times New Roman" w:cs="Times New Roman"/>
          <w:color w:val="333333"/>
          <w:sz w:val="24"/>
          <w:szCs w:val="24"/>
        </w:rPr>
      </w:pPr>
    </w:p>
    <w:p w:rsidR="00F500C0" w:rsidRDefault="00F500C0" w:rsidP="00EA2BE6">
      <w:pPr>
        <w:shd w:val="clear" w:color="auto" w:fill="FFFFFF"/>
        <w:spacing w:after="75" w:line="480" w:lineRule="auto"/>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Criminal Investigation</w:t>
      </w: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Student name</w:t>
      </w: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University name</w:t>
      </w: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Criminal Investigation- Literature Review</w:t>
      </w:r>
    </w:p>
    <w:p w:rsidR="00287A29" w:rsidRDefault="00287A29" w:rsidP="00287A29">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The role of a criminal investigator is to examine issues of criminal and forensic investigations out of the situational report. In order to determine a potential solution that will facilitate the reengineering Courtlaney Pass Police Department (CPPD), the criminal investigator should make a better understanding of how to carry the recommended duties in the best possible method</w:t>
      </w:r>
      <w:r w:rsidR="004E5F3F">
        <w:rPr>
          <w:rFonts w:ascii="Times New Roman" w:eastAsia="Times New Roman" w:hAnsi="Times New Roman" w:cs="Times New Roman"/>
          <w:color w:val="333333"/>
          <w:sz w:val="24"/>
          <w:szCs w:val="24"/>
        </w:rPr>
        <w:t>s</w:t>
      </w:r>
      <w:r>
        <w:rPr>
          <w:rFonts w:ascii="Times New Roman" w:eastAsia="Times New Roman" w:hAnsi="Times New Roman" w:cs="Times New Roman"/>
          <w:color w:val="333333"/>
          <w:sz w:val="24"/>
          <w:szCs w:val="24"/>
        </w:rPr>
        <w:t xml:space="preserve"> in the communally tensed area</w:t>
      </w:r>
      <w:r w:rsidR="004E5F3F">
        <w:rPr>
          <w:rFonts w:ascii="Times New Roman" w:eastAsia="Times New Roman" w:hAnsi="Times New Roman" w:cs="Times New Roman"/>
          <w:color w:val="333333"/>
          <w:sz w:val="24"/>
          <w:szCs w:val="24"/>
        </w:rPr>
        <w:t xml:space="preserve">. Therefore, it is necessary to review and professional and scholarly researches and reports, which have been produced in the field of criminal investigation. To further refine the search, since it was determined that the criminal investigation model, which is currently in effect in the Courtlaney Police Department is the key problem causing tension between the agency and the community, specifically the racial minority community, this evaluation attempts to search the methods and models of investigation that largely focus on community-oriented investigation to make a sustainable effect. </w:t>
      </w:r>
    </w:p>
    <w:p w:rsidR="004E5F3F" w:rsidRDefault="004E19CC" w:rsidP="00287A29">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Since in the Courtlaney Police Department, the major investigation issues surround to the topics of community-oriented policing, urban poverty and neighborhood crime, criminal profiling, use of digital evidence, lack of forensic analysis, drug abuse investigation etc. the literature review basically put focuses on these issues. Besides the general search in Internet, the search is also has been accomplished through the Cannon Memorial Online Library to Saint Leo University. The search produces a large number of articles and researches related to the selected investigational issues. By examining the articles according to their scholarly value and direct relation to the examined question, the choice is made. </w:t>
      </w:r>
    </w:p>
    <w:p w:rsidR="004E19CC" w:rsidRPr="00E10754" w:rsidRDefault="004E19CC" w:rsidP="004E19CC">
      <w:pPr>
        <w:shd w:val="clear" w:color="auto" w:fill="FFFFFF"/>
        <w:spacing w:after="75" w:line="480" w:lineRule="auto"/>
        <w:jc w:val="center"/>
        <w:rPr>
          <w:rFonts w:ascii="Times New Roman" w:eastAsia="Times New Roman" w:hAnsi="Times New Roman" w:cs="Times New Roman"/>
          <w:b/>
          <w:color w:val="333333"/>
          <w:sz w:val="24"/>
          <w:szCs w:val="24"/>
        </w:rPr>
      </w:pPr>
      <w:r w:rsidRPr="00E10754">
        <w:rPr>
          <w:rFonts w:ascii="Times New Roman" w:eastAsia="Times New Roman" w:hAnsi="Times New Roman" w:cs="Times New Roman"/>
          <w:b/>
          <w:color w:val="333333"/>
          <w:sz w:val="24"/>
          <w:szCs w:val="24"/>
        </w:rPr>
        <w:t xml:space="preserve">Community-Oriented </w:t>
      </w:r>
      <w:r w:rsidR="00E10754">
        <w:rPr>
          <w:rFonts w:ascii="Times New Roman" w:eastAsia="Times New Roman" w:hAnsi="Times New Roman" w:cs="Times New Roman"/>
          <w:b/>
          <w:color w:val="333333"/>
          <w:sz w:val="24"/>
          <w:szCs w:val="24"/>
        </w:rPr>
        <w:t xml:space="preserve">and Modern </w:t>
      </w:r>
      <w:r w:rsidRPr="00E10754">
        <w:rPr>
          <w:rFonts w:ascii="Times New Roman" w:eastAsia="Times New Roman" w:hAnsi="Times New Roman" w:cs="Times New Roman"/>
          <w:b/>
          <w:color w:val="333333"/>
          <w:sz w:val="24"/>
          <w:szCs w:val="24"/>
        </w:rPr>
        <w:t>Investigation</w:t>
      </w:r>
      <w:r w:rsidR="00E10754">
        <w:rPr>
          <w:rFonts w:ascii="Times New Roman" w:eastAsia="Times New Roman" w:hAnsi="Times New Roman" w:cs="Times New Roman"/>
          <w:b/>
          <w:color w:val="333333"/>
          <w:sz w:val="24"/>
          <w:szCs w:val="24"/>
        </w:rPr>
        <w:t xml:space="preserve"> Methods</w:t>
      </w:r>
    </w:p>
    <w:p w:rsidR="004E19CC" w:rsidRDefault="004E19CC" w:rsidP="004E19CC">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 a communally sensitive area, i</w:t>
      </w:r>
      <w:r w:rsidR="00CF670B">
        <w:rPr>
          <w:rFonts w:ascii="Times New Roman" w:eastAsia="Times New Roman" w:hAnsi="Times New Roman" w:cs="Times New Roman"/>
          <w:color w:val="333333"/>
          <w:sz w:val="24"/>
          <w:szCs w:val="24"/>
        </w:rPr>
        <w:t>t is very effective to carry out investigation based on community-oriented investigation model. Setting investigation strategies based on community-</w:t>
      </w:r>
      <w:r w:rsidR="00CF670B">
        <w:rPr>
          <w:rFonts w:ascii="Times New Roman" w:eastAsia="Times New Roman" w:hAnsi="Times New Roman" w:cs="Times New Roman"/>
          <w:color w:val="333333"/>
          <w:sz w:val="24"/>
          <w:szCs w:val="24"/>
        </w:rPr>
        <w:lastRenderedPageBreak/>
        <w:t>oriented policing is very helpful to reduce the perception disorder and to gain positive benefits on citizens’ satisfaction and police legitimacy (Gill et al, 2010). Community-policing stresses more on direct officer involvement with the local citizens, is organized around flexible hierarchies and protocols, and attempts to address the root causes of neighborhood crime with the assistance from the community</w:t>
      </w:r>
      <w:r w:rsidR="00E10754">
        <w:rPr>
          <w:rFonts w:ascii="Times New Roman" w:eastAsia="Times New Roman" w:hAnsi="Times New Roman" w:cs="Times New Roman"/>
          <w:color w:val="333333"/>
          <w:sz w:val="24"/>
          <w:szCs w:val="24"/>
        </w:rPr>
        <w:t xml:space="preserve"> (Lawrence &amp; McCarthy, 2013)</w:t>
      </w:r>
      <w:r w:rsidR="00CF670B">
        <w:rPr>
          <w:rFonts w:ascii="Times New Roman" w:eastAsia="Times New Roman" w:hAnsi="Times New Roman" w:cs="Times New Roman"/>
          <w:color w:val="333333"/>
          <w:sz w:val="24"/>
          <w:szCs w:val="24"/>
        </w:rPr>
        <w:t xml:space="preserve">. This model of policing </w:t>
      </w:r>
      <w:r w:rsidR="00E10754">
        <w:rPr>
          <w:rFonts w:ascii="Times New Roman" w:eastAsia="Times New Roman" w:hAnsi="Times New Roman" w:cs="Times New Roman"/>
          <w:color w:val="333333"/>
          <w:sz w:val="24"/>
          <w:szCs w:val="24"/>
        </w:rPr>
        <w:t xml:space="preserve">will facilitate the investigation in the Courtlaney area. Besides the community-oriented investigation model, the modern methods of criminal investigation (Rayner, 2014) will work as efficient model to know what will work in the cases and what will not.  </w:t>
      </w:r>
    </w:p>
    <w:p w:rsidR="00E10754" w:rsidRPr="00D813A9" w:rsidRDefault="00E10754" w:rsidP="00E10754">
      <w:pPr>
        <w:shd w:val="clear" w:color="auto" w:fill="FFFFFF"/>
        <w:spacing w:after="75" w:line="480" w:lineRule="auto"/>
        <w:jc w:val="center"/>
        <w:rPr>
          <w:rFonts w:ascii="Times New Roman" w:eastAsia="Times New Roman" w:hAnsi="Times New Roman" w:cs="Times New Roman"/>
          <w:b/>
          <w:color w:val="333333"/>
          <w:sz w:val="24"/>
          <w:szCs w:val="24"/>
        </w:rPr>
      </w:pPr>
      <w:r w:rsidRPr="00D813A9">
        <w:rPr>
          <w:rFonts w:ascii="Times New Roman" w:eastAsia="Times New Roman" w:hAnsi="Times New Roman" w:cs="Times New Roman"/>
          <w:b/>
          <w:color w:val="333333"/>
          <w:sz w:val="24"/>
          <w:szCs w:val="24"/>
        </w:rPr>
        <w:t>Utility of Forensic Evidence</w:t>
      </w:r>
    </w:p>
    <w:p w:rsidR="00E10754" w:rsidRDefault="00E10754" w:rsidP="00E10754">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Forensic evidence is one crucial tool in criminal investigation. But while dealing with the criminal cases in communally sensitive area, one should be very careful about the use and consideration of forensic evidence in the situation. Although the DNA evidence is a significant forensic evidence </w:t>
      </w:r>
      <w:r w:rsidR="00436DD4">
        <w:rPr>
          <w:rFonts w:ascii="Times New Roman" w:eastAsia="Times New Roman" w:hAnsi="Times New Roman" w:cs="Times New Roman"/>
          <w:color w:val="333333"/>
          <w:sz w:val="24"/>
          <w:szCs w:val="24"/>
        </w:rPr>
        <w:t xml:space="preserve">to work on criminal cases, it has limited influence on sexual assault cases with impact from other contributory evidence (Menaker et al, 2017). Fingerprint, hair, and skin analysis are other crucial forensic tools, but they should be used only after proper consideration observing their values and authenticity in the case (Wheeler, 2016). </w:t>
      </w:r>
      <w:r w:rsidR="00D813A9">
        <w:rPr>
          <w:rFonts w:ascii="Times New Roman" w:eastAsia="Times New Roman" w:hAnsi="Times New Roman" w:cs="Times New Roman"/>
          <w:color w:val="333333"/>
          <w:sz w:val="24"/>
          <w:szCs w:val="24"/>
        </w:rPr>
        <w:t xml:space="preserve">Crime scene investigation is another very helpful procedure in criminal cases (NFSTC, 2013). </w:t>
      </w:r>
    </w:p>
    <w:p w:rsidR="00436DD4" w:rsidRPr="00D813A9" w:rsidRDefault="00436DD4" w:rsidP="00436DD4">
      <w:pPr>
        <w:shd w:val="clear" w:color="auto" w:fill="FFFFFF"/>
        <w:spacing w:after="75" w:line="480" w:lineRule="auto"/>
        <w:jc w:val="center"/>
        <w:rPr>
          <w:rFonts w:ascii="Times New Roman" w:eastAsia="Times New Roman" w:hAnsi="Times New Roman" w:cs="Times New Roman"/>
          <w:b/>
          <w:color w:val="333333"/>
          <w:sz w:val="24"/>
          <w:szCs w:val="24"/>
        </w:rPr>
      </w:pPr>
      <w:r w:rsidRPr="00D813A9">
        <w:rPr>
          <w:rFonts w:ascii="Times New Roman" w:eastAsia="Times New Roman" w:hAnsi="Times New Roman" w:cs="Times New Roman"/>
          <w:b/>
          <w:color w:val="333333"/>
          <w:sz w:val="24"/>
          <w:szCs w:val="24"/>
        </w:rPr>
        <w:t>Digital Search Warrant</w:t>
      </w:r>
    </w:p>
    <w:p w:rsidR="00436DD4" w:rsidRDefault="00436DD4" w:rsidP="00436DD4">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While search warrants is one of the helpful tools for collecting evidence in the criminal investigation, </w:t>
      </w:r>
      <w:r w:rsidR="00D813A9">
        <w:rPr>
          <w:rFonts w:ascii="Times New Roman" w:eastAsia="Times New Roman" w:hAnsi="Times New Roman" w:cs="Times New Roman"/>
          <w:color w:val="333333"/>
          <w:sz w:val="24"/>
          <w:szCs w:val="24"/>
        </w:rPr>
        <w:t xml:space="preserve">collection </w:t>
      </w:r>
      <w:r>
        <w:rPr>
          <w:rFonts w:ascii="Times New Roman" w:eastAsia="Times New Roman" w:hAnsi="Times New Roman" w:cs="Times New Roman"/>
          <w:color w:val="333333"/>
          <w:sz w:val="24"/>
          <w:szCs w:val="24"/>
        </w:rPr>
        <w:t xml:space="preserve">of </w:t>
      </w:r>
      <w:r w:rsidR="00D813A9">
        <w:rPr>
          <w:rFonts w:ascii="Times New Roman" w:eastAsia="Times New Roman" w:hAnsi="Times New Roman" w:cs="Times New Roman"/>
          <w:color w:val="333333"/>
          <w:sz w:val="24"/>
          <w:szCs w:val="24"/>
        </w:rPr>
        <w:t>digital evidence from</w:t>
      </w:r>
      <w:r>
        <w:rPr>
          <w:rFonts w:ascii="Times New Roman" w:eastAsia="Times New Roman" w:hAnsi="Times New Roman" w:cs="Times New Roman"/>
          <w:color w:val="333333"/>
          <w:sz w:val="24"/>
          <w:szCs w:val="24"/>
        </w:rPr>
        <w:t xml:space="preserve"> computer searches and seizures </w:t>
      </w:r>
      <w:r w:rsidR="00D813A9">
        <w:rPr>
          <w:rFonts w:ascii="Times New Roman" w:eastAsia="Times New Roman" w:hAnsi="Times New Roman" w:cs="Times New Roman"/>
          <w:color w:val="333333"/>
          <w:sz w:val="24"/>
          <w:szCs w:val="24"/>
        </w:rPr>
        <w:t>can play a more significant strategy if done properly with new tools and procedures. In place of tradition single-step search, where the investigators enter the place, search and seize the property names in the search warrant, in the two-step process of computer search “t</w:t>
      </w:r>
      <w:r w:rsidR="00D813A9" w:rsidRPr="00D813A9">
        <w:rPr>
          <w:rFonts w:ascii="Times New Roman" w:eastAsia="Times New Roman" w:hAnsi="Times New Roman" w:cs="Times New Roman"/>
          <w:color w:val="333333"/>
          <w:sz w:val="24"/>
          <w:szCs w:val="24"/>
        </w:rPr>
        <w:t xml:space="preserve">he investigators enter the place to </w:t>
      </w:r>
      <w:r w:rsidR="00D813A9" w:rsidRPr="00D813A9">
        <w:rPr>
          <w:rFonts w:ascii="Times New Roman" w:eastAsia="Times New Roman" w:hAnsi="Times New Roman" w:cs="Times New Roman"/>
          <w:color w:val="333333"/>
          <w:sz w:val="24"/>
          <w:szCs w:val="24"/>
        </w:rPr>
        <w:lastRenderedPageBreak/>
        <w:t>be searched; seize the computer hardware; take the hardware off-site; and then later search the equipment for data that may be evidence of crime</w:t>
      </w:r>
      <w:r w:rsidR="00D813A9">
        <w:rPr>
          <w:rFonts w:ascii="Times New Roman" w:eastAsia="Times New Roman" w:hAnsi="Times New Roman" w:cs="Times New Roman"/>
          <w:color w:val="333333"/>
          <w:sz w:val="24"/>
          <w:szCs w:val="24"/>
        </w:rPr>
        <w:t xml:space="preserve">” (Kerr, 2005). </w:t>
      </w:r>
    </w:p>
    <w:p w:rsidR="00D813A9" w:rsidRPr="00C9324A" w:rsidRDefault="00D813A9" w:rsidP="00D813A9">
      <w:pPr>
        <w:shd w:val="clear" w:color="auto" w:fill="FFFFFF"/>
        <w:spacing w:after="75" w:line="480" w:lineRule="auto"/>
        <w:jc w:val="center"/>
        <w:rPr>
          <w:rFonts w:ascii="Times New Roman" w:eastAsia="Times New Roman" w:hAnsi="Times New Roman" w:cs="Times New Roman"/>
          <w:b/>
          <w:color w:val="333333"/>
          <w:sz w:val="24"/>
          <w:szCs w:val="24"/>
        </w:rPr>
      </w:pPr>
      <w:r w:rsidRPr="00C9324A">
        <w:rPr>
          <w:rFonts w:ascii="Times New Roman" w:eastAsia="Times New Roman" w:hAnsi="Times New Roman" w:cs="Times New Roman"/>
          <w:b/>
          <w:color w:val="333333"/>
          <w:sz w:val="24"/>
          <w:szCs w:val="24"/>
        </w:rPr>
        <w:t>Criminal Profiling</w:t>
      </w:r>
    </w:p>
    <w:p w:rsidR="006F76BE" w:rsidRDefault="006F76BE" w:rsidP="006F76BE">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Criminal profiling is another important law enforcement tool in solving crime that narrows the process of investigation</w:t>
      </w:r>
      <w:r w:rsidRPr="006F76BE">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w:t>
      </w:r>
      <w:r w:rsidRPr="006F76BE">
        <w:rPr>
          <w:rFonts w:ascii="Times New Roman" w:eastAsia="Times New Roman" w:hAnsi="Times New Roman" w:cs="Times New Roman"/>
          <w:color w:val="333333"/>
          <w:sz w:val="24"/>
          <w:szCs w:val="24"/>
        </w:rPr>
        <w:t>by indicating the kind of person most likely to have committed a crime by focusing on certain behavioral and personality characteristics</w:t>
      </w:r>
      <w:r>
        <w:rPr>
          <w:rFonts w:ascii="Times New Roman" w:eastAsia="Times New Roman" w:hAnsi="Times New Roman" w:cs="Times New Roman"/>
          <w:color w:val="333333"/>
          <w:sz w:val="24"/>
          <w:szCs w:val="24"/>
        </w:rPr>
        <w:t>” (Ibe et al, 2012). But while dealing with criminal cases in racial minority community, criminal profiling should be used with proper consideration. Misuse of criminal pro</w:t>
      </w:r>
      <w:r w:rsidR="00C9324A">
        <w:rPr>
          <w:rFonts w:ascii="Times New Roman" w:eastAsia="Times New Roman" w:hAnsi="Times New Roman" w:cs="Times New Roman"/>
          <w:color w:val="333333"/>
          <w:sz w:val="24"/>
          <w:szCs w:val="24"/>
        </w:rPr>
        <w:t xml:space="preserve">filing based on identical specificity of racial people should be avoided to make the investigation process fair and authentic. </w:t>
      </w:r>
      <w:r>
        <w:rPr>
          <w:rFonts w:ascii="Times New Roman" w:eastAsia="Times New Roman" w:hAnsi="Times New Roman" w:cs="Times New Roman"/>
          <w:color w:val="333333"/>
          <w:sz w:val="24"/>
          <w:szCs w:val="24"/>
        </w:rPr>
        <w:t xml:space="preserve"> </w:t>
      </w:r>
    </w:p>
    <w:p w:rsidR="00D813A9" w:rsidRPr="00A86C08" w:rsidRDefault="00D813A9" w:rsidP="00D813A9">
      <w:pPr>
        <w:shd w:val="clear" w:color="auto" w:fill="FFFFFF"/>
        <w:spacing w:after="75" w:line="480" w:lineRule="auto"/>
        <w:jc w:val="center"/>
        <w:rPr>
          <w:rFonts w:ascii="Times New Roman" w:eastAsia="Times New Roman" w:hAnsi="Times New Roman" w:cs="Times New Roman"/>
          <w:b/>
          <w:color w:val="333333"/>
          <w:sz w:val="24"/>
          <w:szCs w:val="24"/>
        </w:rPr>
      </w:pPr>
      <w:r w:rsidRPr="00A86C08">
        <w:rPr>
          <w:rFonts w:ascii="Times New Roman" w:eastAsia="Times New Roman" w:hAnsi="Times New Roman" w:cs="Times New Roman"/>
          <w:b/>
          <w:color w:val="333333"/>
          <w:sz w:val="24"/>
          <w:szCs w:val="24"/>
        </w:rPr>
        <w:t>Effects of Urban-poverty and Neighborhood Crime</w:t>
      </w:r>
    </w:p>
    <w:p w:rsidR="00D813A9" w:rsidRDefault="00D813A9" w:rsidP="00D813A9">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Analyzing the impact of urban poverty and neighborhood crime is crucial to know the extent to which local criminals are influenced. </w:t>
      </w:r>
      <w:r w:rsidR="006F76BE">
        <w:rPr>
          <w:rFonts w:ascii="Times New Roman" w:eastAsia="Times New Roman" w:hAnsi="Times New Roman" w:cs="Times New Roman"/>
          <w:color w:val="333333"/>
          <w:sz w:val="24"/>
          <w:szCs w:val="24"/>
        </w:rPr>
        <w:t>How the</w:t>
      </w:r>
      <w:r>
        <w:rPr>
          <w:rFonts w:ascii="Times New Roman" w:eastAsia="Times New Roman" w:hAnsi="Times New Roman" w:cs="Times New Roman"/>
          <w:color w:val="333333"/>
          <w:sz w:val="24"/>
          <w:szCs w:val="24"/>
        </w:rPr>
        <w:t xml:space="preserve"> non-residential contexts and variation in c</w:t>
      </w:r>
      <w:r w:rsidR="006F76BE">
        <w:rPr>
          <w:rFonts w:ascii="Times New Roman" w:eastAsia="Times New Roman" w:hAnsi="Times New Roman" w:cs="Times New Roman"/>
          <w:color w:val="333333"/>
          <w:sz w:val="24"/>
          <w:szCs w:val="24"/>
        </w:rPr>
        <w:t xml:space="preserve">riminogenic exposure create influence upon the offending behavior is significant to know to address this direction of crime in investigation process (Graif,, et al, 2014). It </w:t>
      </w:r>
      <w:r>
        <w:rPr>
          <w:rFonts w:ascii="Times New Roman" w:eastAsia="Times New Roman" w:hAnsi="Times New Roman" w:cs="Times New Roman"/>
          <w:color w:val="333333"/>
          <w:sz w:val="24"/>
          <w:szCs w:val="24"/>
        </w:rPr>
        <w:t xml:space="preserve">will </w:t>
      </w:r>
      <w:r w:rsidR="006F76BE">
        <w:rPr>
          <w:rFonts w:ascii="Times New Roman" w:eastAsia="Times New Roman" w:hAnsi="Times New Roman" w:cs="Times New Roman"/>
          <w:color w:val="333333"/>
          <w:sz w:val="24"/>
          <w:szCs w:val="24"/>
        </w:rPr>
        <w:t xml:space="preserve">make the investigation process to look into these factors and make a valid perception of criminal behaviors. </w:t>
      </w:r>
    </w:p>
    <w:p w:rsidR="00C9324A" w:rsidRPr="00C9324A" w:rsidRDefault="00C9324A" w:rsidP="00C9324A">
      <w:pPr>
        <w:shd w:val="clear" w:color="auto" w:fill="FFFFFF"/>
        <w:spacing w:after="75" w:line="480" w:lineRule="auto"/>
        <w:jc w:val="center"/>
        <w:rPr>
          <w:rFonts w:ascii="Times New Roman" w:eastAsia="Times New Roman" w:hAnsi="Times New Roman" w:cs="Times New Roman"/>
          <w:b/>
          <w:color w:val="333333"/>
          <w:sz w:val="24"/>
          <w:szCs w:val="24"/>
        </w:rPr>
      </w:pPr>
      <w:r w:rsidRPr="00C9324A">
        <w:rPr>
          <w:rFonts w:ascii="Times New Roman" w:eastAsia="Times New Roman" w:hAnsi="Times New Roman" w:cs="Times New Roman"/>
          <w:b/>
          <w:color w:val="333333"/>
          <w:sz w:val="24"/>
          <w:szCs w:val="24"/>
        </w:rPr>
        <w:t>Drug- abuse and Investigation</w:t>
      </w:r>
    </w:p>
    <w:p w:rsidR="00C9324A" w:rsidRDefault="00C9324A" w:rsidP="00C9324A">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Drug abuse and offences is another problem in Courtlaney area, specifically among the minorities. It is therefore necessary to look upon the factor that influences drug abuse among the minorities. The investigation and arrest should not be made based on racial disparity and the problem of drug offending should be carefully addressed (Nicosia, 2013)</w:t>
      </w:r>
      <w:r w:rsidR="00A86C08">
        <w:rPr>
          <w:rFonts w:ascii="Times New Roman" w:eastAsia="Times New Roman" w:hAnsi="Times New Roman" w:cs="Times New Roman"/>
          <w:color w:val="333333"/>
          <w:sz w:val="24"/>
          <w:szCs w:val="24"/>
        </w:rPr>
        <w:t xml:space="preserve"> without making any ethnic disparity in criminal court referral of the offenders, who are found guilty. </w:t>
      </w:r>
    </w:p>
    <w:p w:rsidR="00C9324A" w:rsidRDefault="00C9324A" w:rsidP="00F500C0">
      <w:pPr>
        <w:shd w:val="clear" w:color="auto" w:fill="FFFFFF"/>
        <w:spacing w:after="75" w:line="480" w:lineRule="auto"/>
        <w:jc w:val="center"/>
        <w:rPr>
          <w:rFonts w:ascii="Times New Roman" w:eastAsia="Times New Roman" w:hAnsi="Times New Roman" w:cs="Times New Roman"/>
          <w:color w:val="333333"/>
          <w:sz w:val="24"/>
          <w:szCs w:val="24"/>
        </w:rPr>
      </w:pPr>
    </w:p>
    <w:p w:rsidR="00F500C0" w:rsidRDefault="00F500C0" w:rsidP="00F500C0">
      <w:pPr>
        <w:shd w:val="clear" w:color="auto" w:fill="FFFFFF"/>
        <w:spacing w:after="75"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Criminal investigation- Annotated Bibliography</w:t>
      </w:r>
    </w:p>
    <w:p w:rsidR="00712832" w:rsidRPr="00712832" w:rsidRDefault="00F66E0D" w:rsidP="00712832">
      <w:pPr>
        <w:pStyle w:val="Heading1"/>
        <w:shd w:val="clear" w:color="auto" w:fill="FCFCFC"/>
        <w:spacing w:before="0" w:beforeAutospacing="0" w:after="120" w:afterAutospacing="0" w:line="480" w:lineRule="auto"/>
        <w:rPr>
          <w:bCs w:val="0"/>
          <w:color w:val="333333"/>
          <w:spacing w:val="2"/>
          <w:sz w:val="24"/>
          <w:szCs w:val="24"/>
        </w:rPr>
      </w:pPr>
      <w:r w:rsidRPr="00712832">
        <w:rPr>
          <w:color w:val="333333"/>
          <w:sz w:val="24"/>
          <w:szCs w:val="24"/>
        </w:rPr>
        <w:t xml:space="preserve">Gill, C., </w:t>
      </w:r>
      <w:r w:rsidR="00712832" w:rsidRPr="00712832">
        <w:rPr>
          <w:color w:val="333333"/>
          <w:sz w:val="24"/>
          <w:szCs w:val="24"/>
        </w:rPr>
        <w:t xml:space="preserve">Weisburd, D., Telep, C. W. et al, (2010). </w:t>
      </w:r>
      <w:r w:rsidR="00712832" w:rsidRPr="00712832">
        <w:rPr>
          <w:bCs w:val="0"/>
          <w:color w:val="333333"/>
          <w:spacing w:val="2"/>
          <w:sz w:val="24"/>
          <w:szCs w:val="24"/>
        </w:rPr>
        <w:t xml:space="preserve">Community-oriented policing to reduce crime, disorder and fear and increase satisfaction and legitimacy among citizens: a systematic review. </w:t>
      </w:r>
      <w:r w:rsidR="00712832" w:rsidRPr="00712832">
        <w:rPr>
          <w:bCs w:val="0"/>
          <w:i/>
          <w:color w:val="333333"/>
          <w:spacing w:val="2"/>
          <w:sz w:val="24"/>
          <w:szCs w:val="24"/>
        </w:rPr>
        <w:t>Journal of Experimental Criminology</w:t>
      </w:r>
      <w:r w:rsidR="00712832" w:rsidRPr="00712832">
        <w:rPr>
          <w:bCs w:val="0"/>
          <w:color w:val="333333"/>
          <w:spacing w:val="2"/>
          <w:sz w:val="24"/>
          <w:szCs w:val="24"/>
        </w:rPr>
        <w:t xml:space="preserve">, 10(4). 399-428. </w:t>
      </w:r>
    </w:p>
    <w:p w:rsidR="00F66E0D" w:rsidRDefault="00712832" w:rsidP="00F66E0D">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The purpose of this study is to provide systematic review of the existing research on community-oriented policing to identify its effects on crime, disorder, citizen satisfaction, fear, and police legitimacy. The authors suggest that while community-oriented policing strategies have positive benefits upon satisfaction of citizens, their perception disorder, and police legitimacy, it have limited effect on crime and fear of crime. The review provides significant insight into the benefits of community policing for improving perceptions of the police.</w:t>
      </w:r>
    </w:p>
    <w:p w:rsidR="00130362" w:rsidRDefault="00130362" w:rsidP="00DE46DF">
      <w:pPr>
        <w:pStyle w:val="Heading1"/>
        <w:shd w:val="clear" w:color="auto" w:fill="FFFFFF"/>
        <w:spacing w:before="0" w:beforeAutospacing="0" w:after="101" w:afterAutospacing="0" w:line="480" w:lineRule="auto"/>
        <w:textAlignment w:val="baseline"/>
        <w:rPr>
          <w:rStyle w:val="article-headermeta-info-data"/>
          <w:color w:val="333333"/>
          <w:sz w:val="24"/>
          <w:szCs w:val="24"/>
          <w:bdr w:val="none" w:sz="0" w:space="0" w:color="auto" w:frame="1"/>
          <w:shd w:val="clear" w:color="auto" w:fill="FFFFFF"/>
        </w:rPr>
      </w:pPr>
      <w:r>
        <w:rPr>
          <w:color w:val="333333"/>
          <w:sz w:val="24"/>
          <w:szCs w:val="24"/>
        </w:rPr>
        <w:t xml:space="preserve">Graif, C., </w:t>
      </w:r>
      <w:r w:rsidR="00DE46DF">
        <w:rPr>
          <w:color w:val="333333"/>
          <w:sz w:val="24"/>
          <w:szCs w:val="24"/>
        </w:rPr>
        <w:t xml:space="preserve">Gladfelter, A. S., Matthews, S. A. (2014). </w:t>
      </w:r>
      <w:r w:rsidR="00DE46DF" w:rsidRPr="00DE46DF">
        <w:rPr>
          <w:color w:val="000000"/>
          <w:sz w:val="24"/>
          <w:szCs w:val="24"/>
        </w:rPr>
        <w:t>Urban Poverty and Neighborhood Effects on Crime: Incorporating Spatial and Network Perspectives</w:t>
      </w:r>
      <w:r w:rsidR="00DE46DF">
        <w:rPr>
          <w:color w:val="000000"/>
          <w:sz w:val="24"/>
          <w:szCs w:val="24"/>
        </w:rPr>
        <w:t xml:space="preserve">, </w:t>
      </w:r>
      <w:r w:rsidR="00DE46DF">
        <w:rPr>
          <w:i/>
          <w:color w:val="000000"/>
          <w:sz w:val="24"/>
          <w:szCs w:val="24"/>
        </w:rPr>
        <w:t>Sociology Compass</w:t>
      </w:r>
      <w:r w:rsidR="00DE46DF">
        <w:rPr>
          <w:color w:val="000000"/>
          <w:sz w:val="24"/>
          <w:szCs w:val="24"/>
        </w:rPr>
        <w:t xml:space="preserve">, </w:t>
      </w:r>
      <w:r w:rsidR="00DE46DF">
        <w:rPr>
          <w:color w:val="333333"/>
          <w:sz w:val="24"/>
          <w:szCs w:val="24"/>
        </w:rPr>
        <w:t xml:space="preserve">8(9), 1140-1155. </w:t>
      </w:r>
      <w:r w:rsidR="00DE46DF" w:rsidRPr="00DE46DF">
        <w:rPr>
          <w:rStyle w:val="article-headermeta-info-label"/>
          <w:b w:val="0"/>
          <w:bCs w:val="0"/>
          <w:color w:val="333333"/>
          <w:sz w:val="24"/>
          <w:szCs w:val="24"/>
          <w:bdr w:val="none" w:sz="0" w:space="0" w:color="auto" w:frame="1"/>
          <w:shd w:val="clear" w:color="auto" w:fill="FFFFFF"/>
        </w:rPr>
        <w:t>DOI: </w:t>
      </w:r>
      <w:r w:rsidR="00DE46DF" w:rsidRPr="00DE46DF">
        <w:rPr>
          <w:rStyle w:val="article-headermeta-info-data"/>
          <w:color w:val="333333"/>
          <w:sz w:val="24"/>
          <w:szCs w:val="24"/>
          <w:bdr w:val="none" w:sz="0" w:space="0" w:color="auto" w:frame="1"/>
          <w:shd w:val="clear" w:color="auto" w:fill="FFFFFF"/>
        </w:rPr>
        <w:t>10.1111/soc4.12199</w:t>
      </w:r>
      <w:r w:rsidR="00DE46DF">
        <w:rPr>
          <w:rStyle w:val="article-headermeta-info-data"/>
          <w:color w:val="333333"/>
          <w:sz w:val="24"/>
          <w:szCs w:val="24"/>
          <w:bdr w:val="none" w:sz="0" w:space="0" w:color="auto" w:frame="1"/>
          <w:shd w:val="clear" w:color="auto" w:fill="FFFFFF"/>
        </w:rPr>
        <w:t>.</w:t>
      </w:r>
    </w:p>
    <w:p w:rsidR="00DE46DF" w:rsidRPr="005A0A33" w:rsidRDefault="00DE46DF" w:rsidP="00DE46DF">
      <w:pPr>
        <w:pStyle w:val="Heading1"/>
        <w:shd w:val="clear" w:color="auto" w:fill="FFFFFF"/>
        <w:spacing w:before="0" w:beforeAutospacing="0" w:after="101" w:afterAutospacing="0" w:line="480" w:lineRule="auto"/>
        <w:textAlignment w:val="baseline"/>
        <w:rPr>
          <w:b w:val="0"/>
          <w:color w:val="000000"/>
          <w:sz w:val="24"/>
          <w:szCs w:val="24"/>
        </w:rPr>
      </w:pPr>
      <w:r w:rsidRPr="005A0A33">
        <w:rPr>
          <w:rStyle w:val="article-headermeta-info-data"/>
          <w:b w:val="0"/>
          <w:color w:val="333333"/>
          <w:sz w:val="24"/>
          <w:szCs w:val="24"/>
          <w:bdr w:val="none" w:sz="0" w:space="0" w:color="auto" w:frame="1"/>
          <w:shd w:val="clear" w:color="auto" w:fill="FFFFFF"/>
        </w:rPr>
        <w:t xml:space="preserve">The article surveys significant recent developments in the literature of neighborhood effects and the spatial stratification of poverty and urban crime. In order to understand the impact of neighborhood and poverty on crime, sociological and criminological research should expand the </w:t>
      </w:r>
      <w:r w:rsidR="005A0A33" w:rsidRPr="005A0A33">
        <w:rPr>
          <w:rStyle w:val="article-headermeta-info-data"/>
          <w:b w:val="0"/>
          <w:color w:val="333333"/>
          <w:sz w:val="24"/>
          <w:szCs w:val="24"/>
          <w:bdr w:val="none" w:sz="0" w:space="0" w:color="auto" w:frame="1"/>
          <w:shd w:val="clear" w:color="auto" w:fill="FFFFFF"/>
        </w:rPr>
        <w:t xml:space="preserve">analytical focus from the residential neighborhoods to the network of neighborhoods to which individuals are exposed during their daily activities. The authors highlight works that indicate that non-residential contexts add variation in criminogenic exposure thus eventually create influence upon offending behavior and victimization risk. Also it put focus on gang violence, social and institutional connections, and spatial mismatch. It advocates for making advancement in the research of urban poverty that investigates the salience of inter-neighborhood associations in assessing the spatial stratification of criminogenic risk for individuals and communities. </w:t>
      </w:r>
    </w:p>
    <w:p w:rsidR="00301151" w:rsidRPr="001F2ACD" w:rsidRDefault="00301151" w:rsidP="00301151">
      <w:pPr>
        <w:shd w:val="clear" w:color="auto" w:fill="FFFFFF"/>
        <w:spacing w:after="75" w:line="480" w:lineRule="auto"/>
        <w:rPr>
          <w:rFonts w:ascii="Times New Roman" w:hAnsi="Times New Roman" w:cs="Times New Roman"/>
          <w:b/>
          <w:sz w:val="24"/>
          <w:szCs w:val="24"/>
        </w:rPr>
      </w:pPr>
      <w:r w:rsidRPr="001F2ACD">
        <w:rPr>
          <w:rFonts w:ascii="Times New Roman" w:eastAsia="Times New Roman" w:hAnsi="Times New Roman" w:cs="Times New Roman"/>
          <w:b/>
          <w:color w:val="333333"/>
          <w:sz w:val="24"/>
          <w:szCs w:val="24"/>
        </w:rPr>
        <w:lastRenderedPageBreak/>
        <w:t xml:space="preserve">Ibe, P., Ochie, C., &amp; Obiyan, E. (2012). Racial Misuse of “Criminal Profiling” by Law Enforcement: Intentions and Implications (2012). </w:t>
      </w:r>
      <w:r w:rsidRPr="001F2ACD">
        <w:rPr>
          <w:rFonts w:ascii="Times New Roman" w:hAnsi="Times New Roman" w:cs="Times New Roman"/>
          <w:b/>
          <w:sz w:val="24"/>
          <w:szCs w:val="24"/>
        </w:rPr>
        <w:t>African Journal of Criminology and Justice Studies, 6, s 1&amp;2, 177-196.</w:t>
      </w:r>
    </w:p>
    <w:p w:rsidR="00301151" w:rsidRDefault="00301151" w:rsidP="00301151">
      <w:pPr>
        <w:shd w:val="clear" w:color="auto" w:fill="FFFFFF"/>
        <w:spacing w:after="75" w:line="480" w:lineRule="auto"/>
        <w:rPr>
          <w:rFonts w:ascii="Times New Roman" w:hAnsi="Times New Roman" w:cs="Times New Roman"/>
          <w:sz w:val="24"/>
          <w:szCs w:val="24"/>
        </w:rPr>
      </w:pPr>
      <w:r>
        <w:rPr>
          <w:rFonts w:ascii="Times New Roman" w:hAnsi="Times New Roman" w:cs="Times New Roman"/>
          <w:sz w:val="24"/>
          <w:szCs w:val="24"/>
        </w:rPr>
        <w:t xml:space="preserve">Criminal Profiling is very significant tool in solving crime. This article examines some critical issues regarding the criminal profiling, its misuse by the law enforcement, and its utility in solving serious crimes. The author investigates the issue of criminal profiling in the United States and its impact on racial minorities, specifically African Americans. Besides discussing and analyzing the </w:t>
      </w:r>
      <w:r w:rsidR="001F2ACD">
        <w:rPr>
          <w:rFonts w:ascii="Times New Roman" w:hAnsi="Times New Roman" w:cs="Times New Roman"/>
          <w:sz w:val="24"/>
          <w:szCs w:val="24"/>
        </w:rPr>
        <w:t>importance of criminal profiling, the development and its potential misuses in the criminal investigation in 21</w:t>
      </w:r>
      <w:r w:rsidR="001F2ACD" w:rsidRPr="001F2ACD">
        <w:rPr>
          <w:rFonts w:ascii="Times New Roman" w:hAnsi="Times New Roman" w:cs="Times New Roman"/>
          <w:sz w:val="24"/>
          <w:szCs w:val="24"/>
          <w:vertAlign w:val="superscript"/>
        </w:rPr>
        <w:t>st</w:t>
      </w:r>
      <w:r w:rsidR="001F2ACD">
        <w:rPr>
          <w:rFonts w:ascii="Times New Roman" w:hAnsi="Times New Roman" w:cs="Times New Roman"/>
          <w:sz w:val="24"/>
          <w:szCs w:val="24"/>
        </w:rPr>
        <w:t xml:space="preserve"> century have been also discussed. The study shows that criminal profiling has become a racial policy and tool that has been misused as a basis for suspicion in nonspecific investigation, specially making discriminatory concept based on race, religion, nationality, and other particular identities as well. The study suggests rooting out all types of racial profiling because it is illegal and inhuman. </w:t>
      </w:r>
    </w:p>
    <w:p w:rsidR="00A57426" w:rsidRPr="00A57426" w:rsidRDefault="00A57426" w:rsidP="00301151">
      <w:pPr>
        <w:shd w:val="clear" w:color="auto" w:fill="FFFFFF"/>
        <w:spacing w:after="75" w:line="480" w:lineRule="auto"/>
        <w:rPr>
          <w:rFonts w:ascii="Times New Roman" w:hAnsi="Times New Roman" w:cs="Times New Roman"/>
          <w:b/>
          <w:sz w:val="24"/>
          <w:szCs w:val="24"/>
        </w:rPr>
      </w:pPr>
      <w:r w:rsidRPr="00A57426">
        <w:rPr>
          <w:rFonts w:ascii="Times New Roman" w:hAnsi="Times New Roman" w:cs="Times New Roman"/>
          <w:b/>
          <w:sz w:val="24"/>
          <w:szCs w:val="24"/>
        </w:rPr>
        <w:t xml:space="preserve">Kerr, Orin, S. (2005). Search Warrants in an Era of Digital Evidence. </w:t>
      </w:r>
      <w:r w:rsidRPr="00A57426">
        <w:rPr>
          <w:rFonts w:ascii="Times New Roman" w:hAnsi="Times New Roman" w:cs="Times New Roman"/>
          <w:b/>
          <w:i/>
          <w:sz w:val="24"/>
          <w:szCs w:val="24"/>
        </w:rPr>
        <w:t>Mississippi Law Journal</w:t>
      </w:r>
      <w:r w:rsidRPr="00A57426">
        <w:rPr>
          <w:rFonts w:ascii="Times New Roman" w:hAnsi="Times New Roman" w:cs="Times New Roman"/>
          <w:b/>
          <w:sz w:val="24"/>
          <w:szCs w:val="24"/>
        </w:rPr>
        <w:t>, 75, 85-145.</w:t>
      </w:r>
    </w:p>
    <w:p w:rsidR="00A57426" w:rsidRDefault="00A57426" w:rsidP="00301151">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Search warrant is one of the helpful tools for collecting evidence in criminal investigating process. The article argues for the reformation of the warrant process and advocates for the utility of new dynamics of computer searches and seizures. It explains how </w:t>
      </w:r>
      <w:r w:rsidR="003A4BE3">
        <w:rPr>
          <w:rFonts w:ascii="Times New Roman" w:eastAsia="Times New Roman" w:hAnsi="Times New Roman" w:cs="Times New Roman"/>
          <w:color w:val="333333"/>
          <w:sz w:val="24"/>
          <w:szCs w:val="24"/>
        </w:rPr>
        <w:t xml:space="preserve">the new processes of computer searches and seizures require changes in the regulations governing the warrant process in order to make updating the law in this digital evidence era. Reformation of the warrant process regulation will increase the efficacy of the criminal investigation by limiting the confusion surrounding it. </w:t>
      </w:r>
    </w:p>
    <w:p w:rsidR="00265B1F" w:rsidRPr="00265B1F" w:rsidRDefault="00265B1F" w:rsidP="00265B1F">
      <w:pPr>
        <w:shd w:val="clear" w:color="auto" w:fill="FFFFFF"/>
        <w:spacing w:after="75" w:line="480" w:lineRule="auto"/>
        <w:rPr>
          <w:rFonts w:ascii="Times New Roman" w:eastAsia="Times New Roman" w:hAnsi="Times New Roman" w:cs="Times New Roman"/>
          <w:b/>
          <w:color w:val="333333"/>
          <w:sz w:val="24"/>
          <w:szCs w:val="24"/>
        </w:rPr>
      </w:pPr>
      <w:r w:rsidRPr="00265B1F">
        <w:rPr>
          <w:rFonts w:ascii="Times New Roman" w:eastAsia="Times New Roman" w:hAnsi="Times New Roman" w:cs="Times New Roman"/>
          <w:b/>
          <w:color w:val="333333"/>
          <w:sz w:val="24"/>
          <w:szCs w:val="24"/>
        </w:rPr>
        <w:lastRenderedPageBreak/>
        <w:t xml:space="preserve">Lawrence, Sarah &amp; McCarthy, Bobby (2013). What Works in Community Policing? A Best Practices Context for Measure Y Efforts. The Chief Justice Earl Warren Institute on Law and Social Policy, University of California Berkeley, School of Law. Available at: </w:t>
      </w:r>
      <w:hyperlink r:id="rId7" w:history="1">
        <w:r w:rsidRPr="00265B1F">
          <w:rPr>
            <w:rStyle w:val="Hyperlink"/>
            <w:rFonts w:ascii="Times New Roman" w:eastAsia="Times New Roman" w:hAnsi="Times New Roman" w:cs="Times New Roman"/>
            <w:b/>
            <w:sz w:val="24"/>
            <w:szCs w:val="24"/>
          </w:rPr>
          <w:t>https://www.law.berkeley.edu/files/What_Works_in_Community_Policing.pdf</w:t>
        </w:r>
      </w:hyperlink>
      <w:r w:rsidRPr="00265B1F">
        <w:rPr>
          <w:rFonts w:ascii="Times New Roman" w:eastAsia="Times New Roman" w:hAnsi="Times New Roman" w:cs="Times New Roman"/>
          <w:b/>
          <w:color w:val="333333"/>
          <w:sz w:val="24"/>
          <w:szCs w:val="24"/>
        </w:rPr>
        <w:t xml:space="preserve"> </w:t>
      </w:r>
    </w:p>
    <w:p w:rsidR="00265B1F" w:rsidRDefault="00265B1F" w:rsidP="00301151">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This document provides a detailed description of community-policing and the key components of the community policing: organizational transformation, community partnership, and problem solving. It specifies the implementation of the SARA (Scanning, Analysis, Response, and Assessment) model in community policing and keys to successful community policing method. The purpose of the report is to put focus on some of the best practicing methods of the community pol</w:t>
      </w:r>
      <w:r w:rsidR="00404450">
        <w:rPr>
          <w:rFonts w:ascii="Times New Roman" w:eastAsia="Times New Roman" w:hAnsi="Times New Roman" w:cs="Times New Roman"/>
          <w:color w:val="333333"/>
          <w:sz w:val="24"/>
          <w:szCs w:val="24"/>
        </w:rPr>
        <w:t>i</w:t>
      </w:r>
      <w:r>
        <w:rPr>
          <w:rFonts w:ascii="Times New Roman" w:eastAsia="Times New Roman" w:hAnsi="Times New Roman" w:cs="Times New Roman"/>
          <w:color w:val="333333"/>
          <w:sz w:val="24"/>
          <w:szCs w:val="24"/>
        </w:rPr>
        <w:t xml:space="preserve">cing. </w:t>
      </w:r>
      <w:r w:rsidR="00404450">
        <w:rPr>
          <w:rFonts w:ascii="Times New Roman" w:eastAsia="Times New Roman" w:hAnsi="Times New Roman" w:cs="Times New Roman"/>
          <w:color w:val="333333"/>
          <w:sz w:val="24"/>
          <w:szCs w:val="24"/>
        </w:rPr>
        <w:t xml:space="preserve">It is helpful in setting strategies while investigating the community related crime. </w:t>
      </w:r>
    </w:p>
    <w:p w:rsidR="00F500C0" w:rsidRPr="002B52CA" w:rsidRDefault="00F500C0" w:rsidP="00F500C0">
      <w:pPr>
        <w:pStyle w:val="Heading1"/>
        <w:shd w:val="clear" w:color="auto" w:fill="FFFFFF"/>
        <w:spacing w:before="0" w:beforeAutospacing="0" w:after="0" w:afterAutospacing="0" w:line="480" w:lineRule="auto"/>
        <w:rPr>
          <w:color w:val="333333"/>
          <w:sz w:val="24"/>
          <w:szCs w:val="24"/>
        </w:rPr>
      </w:pPr>
      <w:r w:rsidRPr="002B52CA">
        <w:rPr>
          <w:color w:val="333333"/>
          <w:sz w:val="24"/>
          <w:szCs w:val="24"/>
        </w:rPr>
        <w:t xml:space="preserve">Menaker, Tasha, A., Campbell, Bradley, A., </w:t>
      </w:r>
      <w:r w:rsidR="002B52CA" w:rsidRPr="002B52CA">
        <w:rPr>
          <w:color w:val="333333"/>
          <w:sz w:val="24"/>
          <w:szCs w:val="24"/>
        </w:rPr>
        <w:t xml:space="preserve">&amp; </w:t>
      </w:r>
      <w:r w:rsidRPr="002B52CA">
        <w:rPr>
          <w:color w:val="333333"/>
          <w:sz w:val="24"/>
          <w:szCs w:val="24"/>
        </w:rPr>
        <w:t>Wells, William (2017)</w:t>
      </w:r>
      <w:r w:rsidR="002B52CA">
        <w:rPr>
          <w:color w:val="333333"/>
          <w:sz w:val="24"/>
          <w:szCs w:val="24"/>
        </w:rPr>
        <w:t>.</w:t>
      </w:r>
      <w:r w:rsidRPr="002B52CA">
        <w:rPr>
          <w:color w:val="333333"/>
          <w:sz w:val="24"/>
          <w:szCs w:val="24"/>
        </w:rPr>
        <w:t xml:space="preserve"> The Use of Forensic Evidence in Sexual Assault Investigations, Perceptions of Sex Crimes Investigators</w:t>
      </w:r>
      <w:r w:rsidR="002B52CA">
        <w:rPr>
          <w:color w:val="333333"/>
          <w:sz w:val="24"/>
          <w:szCs w:val="24"/>
        </w:rPr>
        <w:t>.</w:t>
      </w:r>
      <w:r w:rsidRPr="002B52CA">
        <w:rPr>
          <w:color w:val="333333"/>
          <w:sz w:val="24"/>
          <w:szCs w:val="24"/>
        </w:rPr>
        <w:t xml:space="preserve"> </w:t>
      </w:r>
      <w:r w:rsidRPr="002B52CA">
        <w:rPr>
          <w:i/>
          <w:color w:val="333333"/>
          <w:sz w:val="24"/>
          <w:szCs w:val="24"/>
        </w:rPr>
        <w:t>Violence Against Women</w:t>
      </w:r>
      <w:r w:rsidR="002B52CA" w:rsidRPr="002B52CA">
        <w:rPr>
          <w:color w:val="333333"/>
          <w:sz w:val="24"/>
          <w:szCs w:val="24"/>
        </w:rPr>
        <w:t xml:space="preserve">, 23(4). </w:t>
      </w:r>
    </w:p>
    <w:p w:rsidR="00F500C0" w:rsidRDefault="002B52CA" w:rsidP="00F500C0">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Despite the large number of benefits of DNA evidence in investigating criminal cases and prosecutions, there is limited understanding of the way how the forensic evidence should be used in criminal investigation and what impact will it create. This qualitative study using the data from the Houston Police Department describes the ways DNA evidence can be used in sexual assault investigations. The result shows limited influence of DNA evidence in investigation and its value is determined by other evidentiary factors. Therefore, the study is useful as it provides insight </w:t>
      </w:r>
      <w:r w:rsidR="00006995">
        <w:rPr>
          <w:rFonts w:ascii="Times New Roman" w:eastAsia="Times New Roman" w:hAnsi="Times New Roman" w:cs="Times New Roman"/>
          <w:color w:val="333333"/>
          <w:sz w:val="24"/>
          <w:szCs w:val="24"/>
        </w:rPr>
        <w:t xml:space="preserve">into the utilization of DNA evidence, when the evidence is least and most helpful, the usefulness of DNA evidence in comparison to other evidence, and the impact of this type of evidence in the investigation of sexual assaults. </w:t>
      </w:r>
    </w:p>
    <w:p w:rsidR="00F67195" w:rsidRPr="00AA4EBC" w:rsidRDefault="00AA4EBC" w:rsidP="00F500C0">
      <w:pPr>
        <w:shd w:val="clear" w:color="auto" w:fill="FFFFFF"/>
        <w:spacing w:after="75" w:line="480" w:lineRule="auto"/>
        <w:rPr>
          <w:rFonts w:ascii="Times New Roman" w:eastAsia="Times New Roman" w:hAnsi="Times New Roman" w:cs="Times New Roman"/>
          <w:b/>
          <w:color w:val="333333"/>
          <w:sz w:val="24"/>
          <w:szCs w:val="24"/>
        </w:rPr>
      </w:pPr>
      <w:r w:rsidRPr="00AA4EBC">
        <w:rPr>
          <w:rFonts w:ascii="Times New Roman" w:eastAsia="Times New Roman" w:hAnsi="Times New Roman" w:cs="Times New Roman"/>
          <w:b/>
          <w:color w:val="333333"/>
          <w:sz w:val="24"/>
          <w:szCs w:val="24"/>
        </w:rPr>
        <w:lastRenderedPageBreak/>
        <w:t xml:space="preserve">Rayner, Jeremiah J., (2014). </w:t>
      </w:r>
      <w:r w:rsidR="00F67195" w:rsidRPr="00AA4EBC">
        <w:rPr>
          <w:rFonts w:ascii="Times New Roman" w:eastAsia="Times New Roman" w:hAnsi="Times New Roman" w:cs="Times New Roman"/>
          <w:b/>
          <w:color w:val="333333"/>
          <w:sz w:val="24"/>
          <w:szCs w:val="24"/>
        </w:rPr>
        <w:t>Re-evaluating the Criminal Investigative Process: An Empirical Evaluation of Criminal Investigatio</w:t>
      </w:r>
      <w:r w:rsidRPr="00AA4EBC">
        <w:rPr>
          <w:rFonts w:ascii="Times New Roman" w:eastAsia="Times New Roman" w:hAnsi="Times New Roman" w:cs="Times New Roman"/>
          <w:b/>
          <w:color w:val="333333"/>
          <w:sz w:val="24"/>
          <w:szCs w:val="24"/>
        </w:rPr>
        <w:t xml:space="preserve">ns in the United States. The University of Southern Mississippi, The Aquila Digital Community. </w:t>
      </w:r>
      <w:r w:rsidR="00F67195" w:rsidRPr="00AA4EBC">
        <w:rPr>
          <w:rFonts w:ascii="Times New Roman" w:eastAsia="Times New Roman" w:hAnsi="Times New Roman" w:cs="Times New Roman"/>
          <w:b/>
          <w:color w:val="333333"/>
          <w:sz w:val="24"/>
          <w:szCs w:val="24"/>
        </w:rPr>
        <w:t xml:space="preserve">Dissertations. 3. </w:t>
      </w:r>
      <w:r w:rsidRPr="00AA4EBC">
        <w:rPr>
          <w:rFonts w:ascii="Times New Roman" w:eastAsia="Times New Roman" w:hAnsi="Times New Roman" w:cs="Times New Roman"/>
          <w:b/>
          <w:color w:val="333333"/>
          <w:sz w:val="24"/>
          <w:szCs w:val="24"/>
        </w:rPr>
        <w:t xml:space="preserve">Available at: </w:t>
      </w:r>
      <w:r w:rsidR="00F67195" w:rsidRPr="00AA4EBC">
        <w:rPr>
          <w:rFonts w:ascii="Times New Roman" w:eastAsia="Times New Roman" w:hAnsi="Times New Roman" w:cs="Times New Roman"/>
          <w:b/>
          <w:color w:val="333333"/>
          <w:sz w:val="24"/>
          <w:szCs w:val="24"/>
        </w:rPr>
        <w:t>http://aquila.usm.edu/dissertations/3</w:t>
      </w:r>
    </w:p>
    <w:p w:rsidR="00AA4EBC" w:rsidRDefault="00800100" w:rsidP="00F500C0">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While criminal investigation is a primary part of the police mission, there is little scientific research measuring the nature of criminal investigation, its importance in everyday police operation, </w:t>
      </w:r>
      <w:r w:rsidR="00E77186">
        <w:rPr>
          <w:rFonts w:ascii="Times New Roman" w:eastAsia="Times New Roman" w:hAnsi="Times New Roman" w:cs="Times New Roman"/>
          <w:color w:val="333333"/>
          <w:sz w:val="24"/>
          <w:szCs w:val="24"/>
        </w:rPr>
        <w:t>and the modern method of investigative process. This study attempts to fill that gap by describing the modern investigative process. The author compares past and present findings in order to make a more comprehensive review of the modern criminal investigation method. The study surveys patrol officers, investigators, investigative management, investigative support, and</w:t>
      </w:r>
      <w:r w:rsidR="00A57426">
        <w:rPr>
          <w:rFonts w:ascii="Times New Roman" w:eastAsia="Times New Roman" w:hAnsi="Times New Roman" w:cs="Times New Roman"/>
          <w:color w:val="333333"/>
          <w:sz w:val="24"/>
          <w:szCs w:val="24"/>
        </w:rPr>
        <w:t xml:space="preserve"> investigative effectiveness to develop</w:t>
      </w:r>
      <w:r w:rsidR="00E77186">
        <w:rPr>
          <w:rFonts w:ascii="Times New Roman" w:eastAsia="Times New Roman" w:hAnsi="Times New Roman" w:cs="Times New Roman"/>
          <w:color w:val="333333"/>
          <w:sz w:val="24"/>
          <w:szCs w:val="24"/>
        </w:rPr>
        <w:t xml:space="preserve"> a detailed comprehensive understanding of these elements. </w:t>
      </w:r>
    </w:p>
    <w:p w:rsidR="00881D59" w:rsidRDefault="00881D59" w:rsidP="00881D59">
      <w:pPr>
        <w:pStyle w:val="Heading1"/>
        <w:shd w:val="clear" w:color="auto" w:fill="FFFFFF"/>
        <w:spacing w:before="240" w:beforeAutospacing="0" w:after="120" w:afterAutospacing="0" w:line="480" w:lineRule="auto"/>
        <w:rPr>
          <w:sz w:val="24"/>
          <w:szCs w:val="24"/>
        </w:rPr>
      </w:pPr>
      <w:r w:rsidRPr="00881D59">
        <w:rPr>
          <w:color w:val="333333"/>
          <w:sz w:val="24"/>
          <w:szCs w:val="24"/>
        </w:rPr>
        <w:t xml:space="preserve">Nicosia, N., MacDonald, J., M., &amp; Arkes, J. (2013). </w:t>
      </w:r>
      <w:r w:rsidRPr="00881D59">
        <w:rPr>
          <w:color w:val="000000"/>
          <w:sz w:val="24"/>
          <w:szCs w:val="24"/>
        </w:rPr>
        <w:t>Disparities in Criminal Court Referrals to Drug Treatment and Prison for Minority Men</w:t>
      </w:r>
      <w:r>
        <w:rPr>
          <w:color w:val="000000"/>
          <w:sz w:val="24"/>
          <w:szCs w:val="24"/>
        </w:rPr>
        <w:t xml:space="preserve">. </w:t>
      </w:r>
      <w:r w:rsidRPr="00881D59">
        <w:rPr>
          <w:i/>
          <w:color w:val="000000"/>
          <w:sz w:val="24"/>
          <w:szCs w:val="24"/>
        </w:rPr>
        <w:t>American Journal of Public Health</w:t>
      </w:r>
      <w:r>
        <w:rPr>
          <w:color w:val="000000"/>
          <w:sz w:val="24"/>
          <w:szCs w:val="24"/>
        </w:rPr>
        <w:t xml:space="preserve">, 103(6). </w:t>
      </w:r>
      <w:r w:rsidRPr="00881D59">
        <w:rPr>
          <w:color w:val="000000"/>
          <w:sz w:val="24"/>
          <w:szCs w:val="24"/>
          <w:shd w:val="clear" w:color="auto" w:fill="FFFFFF"/>
        </w:rPr>
        <w:t>doi:  </w:t>
      </w:r>
      <w:hyperlink r:id="rId8" w:tgtFrame="pmc_ext" w:history="1">
        <w:r w:rsidRPr="00881D59">
          <w:rPr>
            <w:rStyle w:val="Hyperlink"/>
            <w:color w:val="auto"/>
            <w:sz w:val="24"/>
            <w:szCs w:val="24"/>
            <w:shd w:val="clear" w:color="auto" w:fill="FFFFFF"/>
          </w:rPr>
          <w:t>10.2105/AJPH.2013.301222</w:t>
        </w:r>
      </w:hyperlink>
      <w:r>
        <w:rPr>
          <w:sz w:val="24"/>
          <w:szCs w:val="24"/>
        </w:rPr>
        <w:t xml:space="preserve">. </w:t>
      </w:r>
    </w:p>
    <w:p w:rsidR="00881D59" w:rsidRPr="00130362" w:rsidRDefault="00881D59" w:rsidP="00881D59">
      <w:pPr>
        <w:pStyle w:val="Heading1"/>
        <w:shd w:val="clear" w:color="auto" w:fill="FFFFFF"/>
        <w:spacing w:before="240" w:beforeAutospacing="0" w:after="120" w:afterAutospacing="0" w:line="480" w:lineRule="auto"/>
        <w:rPr>
          <w:b w:val="0"/>
          <w:sz w:val="24"/>
          <w:szCs w:val="24"/>
        </w:rPr>
      </w:pPr>
      <w:r w:rsidRPr="00130362">
        <w:rPr>
          <w:b w:val="0"/>
          <w:sz w:val="24"/>
          <w:szCs w:val="24"/>
        </w:rPr>
        <w:t xml:space="preserve">This article investigates the extent to which racial/ethnic disparities and diversion to drug treatment had been explained by recent arrests and characteristics of criminal history among drug involved offenders analyzing administrative data on approximately 170,000 drug arrest in California in the duration of 1995-2005. The result shows significant disparities </w:t>
      </w:r>
      <w:r w:rsidR="00130362" w:rsidRPr="00130362">
        <w:rPr>
          <w:b w:val="0"/>
          <w:sz w:val="24"/>
          <w:szCs w:val="24"/>
        </w:rPr>
        <w:t xml:space="preserve">in prison and diversion among Black and Hispanics in comparison to Whites. The disparities have been decreased after current arrests controlling and criminal history characteristics for Blacks. The Proposition 36, although is associated with the reduction in disparities, it is more so for Hispanics than Blacks. The authors conclude that standardized criminal justice policies regarding </w:t>
      </w:r>
      <w:r w:rsidR="00130362" w:rsidRPr="00130362">
        <w:rPr>
          <w:b w:val="0"/>
          <w:sz w:val="24"/>
          <w:szCs w:val="24"/>
        </w:rPr>
        <w:lastRenderedPageBreak/>
        <w:t xml:space="preserve">drug treatment and incarceration among minorities will help in alleviating the disparity to a greater extent. </w:t>
      </w:r>
    </w:p>
    <w:p w:rsidR="00E77186" w:rsidRPr="00AC583F" w:rsidRDefault="00E77186" w:rsidP="00E77186">
      <w:pPr>
        <w:shd w:val="clear" w:color="auto" w:fill="FFFFFF"/>
        <w:spacing w:after="75" w:line="480" w:lineRule="auto"/>
        <w:rPr>
          <w:rFonts w:ascii="Times New Roman" w:eastAsia="Times New Roman" w:hAnsi="Times New Roman" w:cs="Times New Roman"/>
          <w:b/>
          <w:color w:val="333333"/>
          <w:sz w:val="24"/>
          <w:szCs w:val="24"/>
        </w:rPr>
      </w:pPr>
      <w:r w:rsidRPr="00AC583F">
        <w:rPr>
          <w:rFonts w:ascii="Times New Roman" w:eastAsia="Times New Roman" w:hAnsi="Times New Roman" w:cs="Times New Roman"/>
          <w:b/>
          <w:color w:val="333333"/>
          <w:sz w:val="24"/>
          <w:szCs w:val="24"/>
        </w:rPr>
        <w:t xml:space="preserve">The National Forensic Science Technology Center, (2013). Crime Scene Investigation: A guide for Law Enforcement. Largo, FL. </w:t>
      </w:r>
    </w:p>
    <w:p w:rsidR="00E77186" w:rsidRDefault="00E77186" w:rsidP="00E77186">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This document provides detailed procedural guidance for the complete range of crime scene investigation tasks starting from securing the site from submitting the evidence. The document</w:t>
      </w:r>
      <w:r w:rsidRPr="00F67195">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color w:val="333333"/>
          <w:sz w:val="24"/>
          <w:szCs w:val="24"/>
        </w:rPr>
        <w:t xml:space="preserve">is divided into five important sections: Section A: Arriving at the Scene: Initial Response/Prioritization of Efforts; Section B: Preliminary Documentation and Evaluation of the Scene; Section C: Processing the Scene; Section D: Completing and Recording the Crime Scene Investigation, and Section E: Crime Scene Equipment. This is very helpful step-by-step guidance for the law enforcement professionals and the first responders to make the significant first phase of the justice process properly. This guidance can be encouraged to use to use as reference for enhancing exiting training and promoting quality investigation. </w:t>
      </w:r>
    </w:p>
    <w:p w:rsidR="00E77186" w:rsidRPr="00006995" w:rsidRDefault="00E77186" w:rsidP="00E77186">
      <w:pPr>
        <w:shd w:val="clear" w:color="auto" w:fill="FFFFFF"/>
        <w:spacing w:after="75" w:line="480" w:lineRule="auto"/>
        <w:rPr>
          <w:rFonts w:ascii="Times New Roman" w:eastAsia="Times New Roman" w:hAnsi="Times New Roman" w:cs="Times New Roman"/>
          <w:b/>
          <w:color w:val="333333"/>
          <w:sz w:val="24"/>
          <w:szCs w:val="24"/>
        </w:rPr>
      </w:pPr>
      <w:r w:rsidRPr="00006995">
        <w:rPr>
          <w:rFonts w:ascii="Times New Roman" w:eastAsia="Times New Roman" w:hAnsi="Times New Roman" w:cs="Times New Roman"/>
          <w:b/>
          <w:color w:val="333333"/>
          <w:sz w:val="24"/>
          <w:szCs w:val="24"/>
        </w:rPr>
        <w:t xml:space="preserve">Wheeler, Emily (2016). Applications of Forensic Evidence in Criminal Cases. </w:t>
      </w:r>
      <w:r w:rsidRPr="00006995">
        <w:rPr>
          <w:rFonts w:ascii="Times New Roman" w:eastAsia="Times New Roman" w:hAnsi="Times New Roman" w:cs="Times New Roman"/>
          <w:b/>
          <w:i/>
          <w:color w:val="333333"/>
          <w:sz w:val="24"/>
          <w:szCs w:val="24"/>
        </w:rPr>
        <w:t>Themis: Research Journal of Justice Studies and Forensic Science,</w:t>
      </w:r>
      <w:r w:rsidRPr="00006995">
        <w:rPr>
          <w:rFonts w:ascii="Times New Roman" w:eastAsia="Times New Roman" w:hAnsi="Times New Roman" w:cs="Times New Roman"/>
          <w:b/>
          <w:color w:val="333333"/>
          <w:sz w:val="24"/>
          <w:szCs w:val="24"/>
        </w:rPr>
        <w:t xml:space="preserve"> 4, Art. 12. 203-215. Available at: http://scholarworks.sjsu.edu/themis/vol4/iss1/12</w:t>
      </w:r>
    </w:p>
    <w:p w:rsidR="00E77186" w:rsidRDefault="00E77186" w:rsidP="00E77186">
      <w:pPr>
        <w:shd w:val="clear" w:color="auto" w:fill="FFFFFF"/>
        <w:spacing w:after="75"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This article examines the careful consideration of merits of forensic science and its potential dangers as well in the criminal investigation process and most importantly, while addressing the issue of reinstated death penalty. While the DNA analysis and the fingerprint identification method using the Integrated Automated Fingerprint Identification System (IAFIS) are two widely accepted forensic methods, there are raising concerns over the validity of other forensic processes such as hair and bite mark analysis. The study attempts to convince that in cases of flawed forensic testimonials, further investigation should be necessitated. Critical analysis of </w:t>
      </w:r>
      <w:r>
        <w:rPr>
          <w:rFonts w:ascii="Times New Roman" w:eastAsia="Times New Roman" w:hAnsi="Times New Roman" w:cs="Times New Roman"/>
          <w:color w:val="333333"/>
          <w:sz w:val="24"/>
          <w:szCs w:val="24"/>
        </w:rPr>
        <w:lastRenderedPageBreak/>
        <w:t xml:space="preserve">forensic disciplines and their application as evidence in criminal investigation should be properly conducted. </w:t>
      </w:r>
    </w:p>
    <w:p w:rsidR="00E77186" w:rsidRDefault="00E77186" w:rsidP="00F500C0">
      <w:pPr>
        <w:shd w:val="clear" w:color="auto" w:fill="FFFFFF"/>
        <w:spacing w:after="75" w:line="480" w:lineRule="auto"/>
        <w:rPr>
          <w:rFonts w:ascii="Times New Roman" w:eastAsia="Times New Roman" w:hAnsi="Times New Roman" w:cs="Times New Roman"/>
          <w:color w:val="333333"/>
          <w:sz w:val="24"/>
          <w:szCs w:val="24"/>
        </w:rPr>
      </w:pPr>
    </w:p>
    <w:sectPr w:rsidR="00E77186" w:rsidSect="000C3A96">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1236" w:rsidRDefault="008B1236" w:rsidP="00FC4A06">
      <w:pPr>
        <w:spacing w:after="0" w:line="240" w:lineRule="auto"/>
      </w:pPr>
      <w:r>
        <w:separator/>
      </w:r>
    </w:p>
  </w:endnote>
  <w:endnote w:type="continuationSeparator" w:id="1">
    <w:p w:rsidR="008B1236" w:rsidRDefault="008B1236" w:rsidP="00FC4A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1236" w:rsidRDefault="008B1236" w:rsidP="00FC4A06">
      <w:pPr>
        <w:spacing w:after="0" w:line="240" w:lineRule="auto"/>
      </w:pPr>
      <w:r>
        <w:separator/>
      </w:r>
    </w:p>
  </w:footnote>
  <w:footnote w:type="continuationSeparator" w:id="1">
    <w:p w:rsidR="008B1236" w:rsidRDefault="008B1236" w:rsidP="00FC4A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9991501"/>
      <w:docPartObj>
        <w:docPartGallery w:val="Page Numbers (Top of Page)"/>
        <w:docPartUnique/>
      </w:docPartObj>
    </w:sdtPr>
    <w:sdtContent>
      <w:p w:rsidR="006F76BE" w:rsidRDefault="006F76BE">
        <w:pPr>
          <w:pStyle w:val="Header"/>
          <w:jc w:val="right"/>
        </w:pPr>
        <w:fldSimple w:instr=" PAGE   \* MERGEFORMAT ">
          <w:r w:rsidR="00A86C08">
            <w:rPr>
              <w:noProof/>
            </w:rPr>
            <w:t>4</w:t>
          </w:r>
        </w:fldSimple>
      </w:p>
    </w:sdtContent>
  </w:sdt>
  <w:p w:rsidR="006F76BE" w:rsidRDefault="006F76B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FC4A06"/>
    <w:rsid w:val="00006995"/>
    <w:rsid w:val="000C3A96"/>
    <w:rsid w:val="00130362"/>
    <w:rsid w:val="001F2ACD"/>
    <w:rsid w:val="00230187"/>
    <w:rsid w:val="00265B1F"/>
    <w:rsid w:val="00287A29"/>
    <w:rsid w:val="002B52CA"/>
    <w:rsid w:val="00301151"/>
    <w:rsid w:val="003756EC"/>
    <w:rsid w:val="003A4BE3"/>
    <w:rsid w:val="00404450"/>
    <w:rsid w:val="00436DD4"/>
    <w:rsid w:val="004E19CC"/>
    <w:rsid w:val="004E5F3F"/>
    <w:rsid w:val="005A0A33"/>
    <w:rsid w:val="006F76BE"/>
    <w:rsid w:val="00712832"/>
    <w:rsid w:val="00800100"/>
    <w:rsid w:val="00881D59"/>
    <w:rsid w:val="008B1236"/>
    <w:rsid w:val="00932725"/>
    <w:rsid w:val="00A57426"/>
    <w:rsid w:val="00A86C08"/>
    <w:rsid w:val="00AA4EBC"/>
    <w:rsid w:val="00AC583F"/>
    <w:rsid w:val="00C9324A"/>
    <w:rsid w:val="00CA50D4"/>
    <w:rsid w:val="00CF670B"/>
    <w:rsid w:val="00D813A9"/>
    <w:rsid w:val="00DE46DF"/>
    <w:rsid w:val="00E10754"/>
    <w:rsid w:val="00E77186"/>
    <w:rsid w:val="00EA2BE6"/>
    <w:rsid w:val="00F500C0"/>
    <w:rsid w:val="00F66E0D"/>
    <w:rsid w:val="00F67195"/>
    <w:rsid w:val="00FC4A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A96"/>
  </w:style>
  <w:style w:type="paragraph" w:styleId="Heading1">
    <w:name w:val="heading 1"/>
    <w:basedOn w:val="Normal"/>
    <w:link w:val="Heading1Char"/>
    <w:uiPriority w:val="9"/>
    <w:qFormat/>
    <w:rsid w:val="00F500C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A06"/>
  </w:style>
  <w:style w:type="paragraph" w:styleId="Footer">
    <w:name w:val="footer"/>
    <w:basedOn w:val="Normal"/>
    <w:link w:val="FooterChar"/>
    <w:uiPriority w:val="99"/>
    <w:semiHidden/>
    <w:unhideWhenUsed/>
    <w:rsid w:val="00FC4A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4A06"/>
  </w:style>
  <w:style w:type="character" w:styleId="Hyperlink">
    <w:name w:val="Hyperlink"/>
    <w:basedOn w:val="DefaultParagraphFont"/>
    <w:uiPriority w:val="99"/>
    <w:unhideWhenUsed/>
    <w:rsid w:val="00EA2BE6"/>
    <w:rPr>
      <w:color w:val="0000FF"/>
      <w:u w:val="single"/>
    </w:rPr>
  </w:style>
  <w:style w:type="character" w:customStyle="1" w:styleId="entryauthor">
    <w:name w:val="entryauthor"/>
    <w:basedOn w:val="DefaultParagraphFont"/>
    <w:rsid w:val="00EA2BE6"/>
  </w:style>
  <w:style w:type="character" w:customStyle="1" w:styleId="journalname">
    <w:name w:val="journalname"/>
    <w:basedOn w:val="DefaultParagraphFont"/>
    <w:rsid w:val="00EA2BE6"/>
  </w:style>
  <w:style w:type="character" w:customStyle="1" w:styleId="volume">
    <w:name w:val="volume"/>
    <w:basedOn w:val="DefaultParagraphFont"/>
    <w:rsid w:val="00EA2BE6"/>
  </w:style>
  <w:style w:type="character" w:styleId="Emphasis">
    <w:name w:val="Emphasis"/>
    <w:basedOn w:val="DefaultParagraphFont"/>
    <w:uiPriority w:val="20"/>
    <w:qFormat/>
    <w:rsid w:val="003756EC"/>
    <w:rPr>
      <w:i/>
      <w:iCs/>
    </w:rPr>
  </w:style>
  <w:style w:type="character" w:customStyle="1" w:styleId="Heading1Char">
    <w:name w:val="Heading 1 Char"/>
    <w:basedOn w:val="DefaultParagraphFont"/>
    <w:link w:val="Heading1"/>
    <w:uiPriority w:val="9"/>
    <w:rsid w:val="00F500C0"/>
    <w:rPr>
      <w:rFonts w:ascii="Times New Roman" w:eastAsia="Times New Roman" w:hAnsi="Times New Roman" w:cs="Times New Roman"/>
      <w:b/>
      <w:bCs/>
      <w:kern w:val="36"/>
      <w:sz w:val="48"/>
      <w:szCs w:val="48"/>
    </w:rPr>
  </w:style>
  <w:style w:type="character" w:customStyle="1" w:styleId="article-headermeta-info-label">
    <w:name w:val="article-header__meta-info-label"/>
    <w:basedOn w:val="DefaultParagraphFont"/>
    <w:rsid w:val="00DE46DF"/>
  </w:style>
  <w:style w:type="character" w:customStyle="1" w:styleId="article-headermeta-info-data">
    <w:name w:val="article-header__meta-info-data"/>
    <w:basedOn w:val="DefaultParagraphFont"/>
    <w:rsid w:val="00DE46DF"/>
  </w:style>
</w:styles>
</file>

<file path=word/webSettings.xml><?xml version="1.0" encoding="utf-8"?>
<w:webSettings xmlns:r="http://schemas.openxmlformats.org/officeDocument/2006/relationships" xmlns:w="http://schemas.openxmlformats.org/wordprocessingml/2006/main">
  <w:divs>
    <w:div w:id="154689935">
      <w:bodyDiv w:val="1"/>
      <w:marLeft w:val="0"/>
      <w:marRight w:val="0"/>
      <w:marTop w:val="0"/>
      <w:marBottom w:val="0"/>
      <w:divBdr>
        <w:top w:val="none" w:sz="0" w:space="0" w:color="auto"/>
        <w:left w:val="none" w:sz="0" w:space="0" w:color="auto"/>
        <w:bottom w:val="none" w:sz="0" w:space="0" w:color="auto"/>
        <w:right w:val="none" w:sz="0" w:space="0" w:color="auto"/>
      </w:divBdr>
      <w:divsChild>
        <w:div w:id="684677432">
          <w:marLeft w:val="0"/>
          <w:marRight w:val="0"/>
          <w:marTop w:val="0"/>
          <w:marBottom w:val="0"/>
          <w:divBdr>
            <w:top w:val="none" w:sz="0" w:space="0" w:color="auto"/>
            <w:left w:val="none" w:sz="0" w:space="0" w:color="auto"/>
            <w:bottom w:val="none" w:sz="0" w:space="0" w:color="auto"/>
            <w:right w:val="none" w:sz="0" w:space="0" w:color="auto"/>
          </w:divBdr>
        </w:div>
        <w:div w:id="1232886904">
          <w:marLeft w:val="0"/>
          <w:marRight w:val="0"/>
          <w:marTop w:val="0"/>
          <w:marBottom w:val="0"/>
          <w:divBdr>
            <w:top w:val="none" w:sz="0" w:space="0" w:color="auto"/>
            <w:left w:val="none" w:sz="0" w:space="0" w:color="auto"/>
            <w:bottom w:val="none" w:sz="0" w:space="0" w:color="auto"/>
            <w:right w:val="none" w:sz="0" w:space="0" w:color="auto"/>
          </w:divBdr>
        </w:div>
      </w:divsChild>
    </w:div>
    <w:div w:id="1272278284">
      <w:bodyDiv w:val="1"/>
      <w:marLeft w:val="0"/>
      <w:marRight w:val="0"/>
      <w:marTop w:val="0"/>
      <w:marBottom w:val="0"/>
      <w:divBdr>
        <w:top w:val="none" w:sz="0" w:space="0" w:color="auto"/>
        <w:left w:val="none" w:sz="0" w:space="0" w:color="auto"/>
        <w:bottom w:val="none" w:sz="0" w:space="0" w:color="auto"/>
        <w:right w:val="none" w:sz="0" w:space="0" w:color="auto"/>
      </w:divBdr>
    </w:div>
    <w:div w:id="1350134683">
      <w:bodyDiv w:val="1"/>
      <w:marLeft w:val="0"/>
      <w:marRight w:val="0"/>
      <w:marTop w:val="0"/>
      <w:marBottom w:val="0"/>
      <w:divBdr>
        <w:top w:val="none" w:sz="0" w:space="0" w:color="auto"/>
        <w:left w:val="none" w:sz="0" w:space="0" w:color="auto"/>
        <w:bottom w:val="none" w:sz="0" w:space="0" w:color="auto"/>
        <w:right w:val="none" w:sz="0" w:space="0" w:color="auto"/>
      </w:divBdr>
    </w:div>
    <w:div w:id="1551721978">
      <w:bodyDiv w:val="1"/>
      <w:marLeft w:val="0"/>
      <w:marRight w:val="0"/>
      <w:marTop w:val="0"/>
      <w:marBottom w:val="0"/>
      <w:divBdr>
        <w:top w:val="none" w:sz="0" w:space="0" w:color="auto"/>
        <w:left w:val="none" w:sz="0" w:space="0" w:color="auto"/>
        <w:bottom w:val="none" w:sz="0" w:space="0" w:color="auto"/>
        <w:right w:val="none" w:sz="0" w:space="0" w:color="auto"/>
      </w:divBdr>
    </w:div>
    <w:div w:id="2059233991">
      <w:bodyDiv w:val="1"/>
      <w:marLeft w:val="0"/>
      <w:marRight w:val="0"/>
      <w:marTop w:val="0"/>
      <w:marBottom w:val="0"/>
      <w:divBdr>
        <w:top w:val="none" w:sz="0" w:space="0" w:color="auto"/>
        <w:left w:val="none" w:sz="0" w:space="0" w:color="auto"/>
        <w:bottom w:val="none" w:sz="0" w:space="0" w:color="auto"/>
        <w:right w:val="none" w:sz="0" w:space="0" w:color="auto"/>
      </w:divBdr>
      <w:divsChild>
        <w:div w:id="1660109995">
          <w:marLeft w:val="0"/>
          <w:marRight w:val="0"/>
          <w:marTop w:val="0"/>
          <w:marBottom w:val="75"/>
          <w:divBdr>
            <w:top w:val="none" w:sz="0" w:space="0" w:color="auto"/>
            <w:left w:val="none" w:sz="0" w:space="0" w:color="auto"/>
            <w:bottom w:val="none" w:sz="0" w:space="0" w:color="auto"/>
            <w:right w:val="none" w:sz="0" w:space="0" w:color="auto"/>
          </w:divBdr>
        </w:div>
        <w:div w:id="1648627005">
          <w:marLeft w:val="0"/>
          <w:marRight w:val="0"/>
          <w:marTop w:val="0"/>
          <w:marBottom w:val="0"/>
          <w:divBdr>
            <w:top w:val="none" w:sz="0" w:space="0" w:color="auto"/>
            <w:left w:val="none" w:sz="0" w:space="0" w:color="auto"/>
            <w:bottom w:val="none" w:sz="0" w:space="0" w:color="auto"/>
            <w:right w:val="none" w:sz="0" w:space="0" w:color="auto"/>
          </w:divBdr>
        </w:div>
        <w:div w:id="1550217677">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x.doi.org/10.2105%2FAJPH.2013.301222" TargetMode="External"/><Relationship Id="rId3" Type="http://schemas.openxmlformats.org/officeDocument/2006/relationships/settings" Target="settings.xml"/><Relationship Id="rId7" Type="http://schemas.openxmlformats.org/officeDocument/2006/relationships/hyperlink" Target="https://www.law.berkeley.edu/files/What_Works_in_Community_Policing.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FA862-DF88-4E15-949A-7D8A2E28A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10</Pages>
  <Words>2335</Words>
  <Characters>13313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2018-02-03T14:13:00Z</dcterms:created>
  <dcterms:modified xsi:type="dcterms:W3CDTF">2018-02-04T04:41:00Z</dcterms:modified>
</cp:coreProperties>
</file>