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468" w:rsidRPr="003A6E52" w:rsidRDefault="00522ABC" w:rsidP="00A86213">
      <w:pPr>
        <w:pStyle w:val="ListParagraph"/>
        <w:numPr>
          <w:ilvl w:val="0"/>
          <w:numId w:val="1"/>
        </w:numPr>
        <w:spacing w:line="480" w:lineRule="auto"/>
        <w:rPr>
          <w:rFonts w:ascii="Times New Roman" w:hAnsi="Times New Roman" w:cs="Times New Roman"/>
          <w:sz w:val="24"/>
          <w:szCs w:val="24"/>
        </w:rPr>
      </w:pPr>
      <w:r w:rsidRPr="003A6E52">
        <w:rPr>
          <w:rFonts w:ascii="Times New Roman" w:hAnsi="Times New Roman" w:cs="Times New Roman"/>
          <w:sz w:val="24"/>
          <w:szCs w:val="24"/>
        </w:rPr>
        <w:t>Inoculation started in the long history of irresistible infection in</w:t>
      </w:r>
      <w:r w:rsidR="00FE6F4D" w:rsidRPr="003A6E52">
        <w:rPr>
          <w:rFonts w:ascii="Times New Roman" w:hAnsi="Times New Roman" w:cs="Times New Roman"/>
          <w:sz w:val="24"/>
          <w:szCs w:val="24"/>
        </w:rPr>
        <w:t xml:space="preserve"> people, and specifically, with </w:t>
      </w:r>
      <w:r w:rsidRPr="003A6E52">
        <w:rPr>
          <w:rFonts w:ascii="Times New Roman" w:hAnsi="Times New Roman" w:cs="Times New Roman"/>
          <w:sz w:val="24"/>
          <w:szCs w:val="24"/>
        </w:rPr>
        <w:t>early employments of smallpox material to give in</w:t>
      </w:r>
      <w:r w:rsidRPr="003A6E52">
        <w:rPr>
          <w:rFonts w:ascii="Times New Roman" w:hAnsi="Times New Roman" w:cs="Times New Roman"/>
          <w:sz w:val="24"/>
          <w:szCs w:val="24"/>
        </w:rPr>
        <w:t xml:space="preserve">vulnerability to that illness. </w:t>
      </w:r>
      <w:r w:rsidRPr="003A6E52">
        <w:rPr>
          <w:rFonts w:ascii="Times New Roman" w:hAnsi="Times New Roman" w:cs="Times New Roman"/>
          <w:sz w:val="24"/>
          <w:szCs w:val="24"/>
        </w:rPr>
        <w:t>Proof exists that the Chinese utilized smallpox vaccination or variolation, as such utilization of smallpox material, was called as ahead of schedule as 1000 CE. It was polished in Africa and Turkey too before it spre</w:t>
      </w:r>
      <w:r w:rsidRPr="003A6E52">
        <w:rPr>
          <w:rFonts w:ascii="Times New Roman" w:hAnsi="Times New Roman" w:cs="Times New Roman"/>
          <w:sz w:val="24"/>
          <w:szCs w:val="24"/>
        </w:rPr>
        <w:t xml:space="preserve">ad to Europe and the Americas. </w:t>
      </w:r>
      <w:r w:rsidRPr="003A6E52">
        <w:rPr>
          <w:rFonts w:ascii="Times New Roman" w:hAnsi="Times New Roman" w:cs="Times New Roman"/>
          <w:sz w:val="24"/>
          <w:szCs w:val="24"/>
        </w:rPr>
        <w:t>Edward Jenner's advancements, started with his fruitful 1796 utilization of cowpox material to make resistance to smallpox, immediately made the training far-reaching</w:t>
      </w:r>
      <w:r w:rsidR="00180AF2" w:rsidRPr="00180AF2">
        <w:t xml:space="preserve"> </w:t>
      </w:r>
      <w:r w:rsidR="00180AF2">
        <w:t>(</w:t>
      </w:r>
      <w:proofErr w:type="spellStart"/>
      <w:r w:rsidR="00180AF2">
        <w:t>Immunisation</w:t>
      </w:r>
      <w:proofErr w:type="spellEnd"/>
      <w:r w:rsidR="00180AF2">
        <w:t xml:space="preserve"> Advisory Centre, 2020)</w:t>
      </w:r>
      <w:r w:rsidRPr="003A6E52">
        <w:rPr>
          <w:rFonts w:ascii="Times New Roman" w:hAnsi="Times New Roman" w:cs="Times New Roman"/>
          <w:sz w:val="24"/>
          <w:szCs w:val="24"/>
        </w:rPr>
        <w:t xml:space="preserve">. </w:t>
      </w:r>
    </w:p>
    <w:p w:rsidR="004E096D" w:rsidRPr="003A6E52" w:rsidRDefault="00BF6962" w:rsidP="006A6468">
      <w:pPr>
        <w:pStyle w:val="ListParagraph"/>
        <w:spacing w:line="480" w:lineRule="auto"/>
        <w:ind w:firstLine="720"/>
        <w:rPr>
          <w:rFonts w:ascii="Times New Roman" w:hAnsi="Times New Roman" w:cs="Times New Roman"/>
          <w:sz w:val="24"/>
          <w:szCs w:val="24"/>
        </w:rPr>
      </w:pPr>
      <w:r w:rsidRPr="003A6E52">
        <w:rPr>
          <w:rFonts w:ascii="Times New Roman" w:hAnsi="Times New Roman" w:cs="Times New Roman"/>
          <w:sz w:val="24"/>
          <w:szCs w:val="24"/>
        </w:rPr>
        <w:t xml:space="preserve">Immunizations help create invulnerability by copying a disease. This sort of disease, in any case, never causes sickness, yet it makes the invulnerable framework produce T-lymphocytes and </w:t>
      </w:r>
      <w:r w:rsidRPr="003A6E52">
        <w:rPr>
          <w:rFonts w:ascii="Times New Roman" w:hAnsi="Times New Roman" w:cs="Times New Roman"/>
          <w:sz w:val="24"/>
          <w:szCs w:val="24"/>
        </w:rPr>
        <w:t>when</w:t>
      </w:r>
      <w:r w:rsidRPr="003A6E52">
        <w:rPr>
          <w:rFonts w:ascii="Times New Roman" w:hAnsi="Times New Roman" w:cs="Times New Roman"/>
          <w:sz w:val="24"/>
          <w:szCs w:val="24"/>
        </w:rPr>
        <w:t xml:space="preserve"> the impersonation disease disappears, the body is left with a stockpile of, memory, T-lymphocytes, just as B-lymphocytes that will recollect step by step instructions to battle that illness later on. Nonetheless, it commonly takes hardly any weeks for the body to create T</w:t>
      </w:r>
      <w:r w:rsidRPr="003A6E52">
        <w:rPr>
          <w:rFonts w:ascii="Times New Roman" w:hAnsi="Times New Roman" w:cs="Times New Roman"/>
          <w:sz w:val="24"/>
          <w:szCs w:val="24"/>
        </w:rPr>
        <w:t xml:space="preserve">-lymphocytes and B-lymphocytes </w:t>
      </w:r>
      <w:r w:rsidRPr="003A6E52">
        <w:rPr>
          <w:rFonts w:ascii="Times New Roman" w:hAnsi="Times New Roman" w:cs="Times New Roman"/>
          <w:sz w:val="24"/>
          <w:szCs w:val="24"/>
        </w:rPr>
        <w:t xml:space="preserve">after immunization. Hence, it is conceivable that an individual tainted with the sickness not long previously or soon after immunization could create indications and </w:t>
      </w:r>
      <w:r w:rsidR="00FE6F4D" w:rsidRPr="003A6E52">
        <w:rPr>
          <w:rFonts w:ascii="Times New Roman" w:hAnsi="Times New Roman" w:cs="Times New Roman"/>
          <w:sz w:val="24"/>
          <w:szCs w:val="24"/>
        </w:rPr>
        <w:t>gets</w:t>
      </w:r>
      <w:r w:rsidRPr="003A6E52">
        <w:rPr>
          <w:rFonts w:ascii="Times New Roman" w:hAnsi="Times New Roman" w:cs="Times New Roman"/>
          <w:sz w:val="24"/>
          <w:szCs w:val="24"/>
        </w:rPr>
        <w:t xml:space="preserve"> a sickness because the antibody has not had sufficient opportunity to give insurance</w:t>
      </w:r>
      <w:r w:rsidR="00180AF2" w:rsidRPr="00180AF2">
        <w:t xml:space="preserve"> </w:t>
      </w:r>
      <w:r w:rsidR="00180AF2">
        <w:t>(Writers, 2019)</w:t>
      </w:r>
      <w:r w:rsidRPr="003A6E52">
        <w:rPr>
          <w:rFonts w:ascii="Times New Roman" w:hAnsi="Times New Roman" w:cs="Times New Roman"/>
          <w:sz w:val="24"/>
          <w:szCs w:val="24"/>
        </w:rPr>
        <w:t>.</w:t>
      </w:r>
      <w:r w:rsidR="006A6468" w:rsidRPr="003A6E52">
        <w:rPr>
          <w:rFonts w:ascii="Times New Roman" w:hAnsi="Times New Roman" w:cs="Times New Roman"/>
          <w:sz w:val="24"/>
          <w:szCs w:val="24"/>
        </w:rPr>
        <w:t xml:space="preserve"> </w:t>
      </w:r>
      <w:r w:rsidR="004E096D" w:rsidRPr="003A6E52">
        <w:rPr>
          <w:rFonts w:ascii="Times New Roman" w:hAnsi="Times New Roman" w:cs="Times New Roman"/>
          <w:sz w:val="24"/>
          <w:szCs w:val="24"/>
        </w:rPr>
        <w:t xml:space="preserve">One of the concerns is that </w:t>
      </w:r>
      <w:r w:rsidR="00FE6F4D" w:rsidRPr="003A6E52">
        <w:rPr>
          <w:rFonts w:ascii="Times New Roman" w:hAnsi="Times New Roman" w:cs="Times New Roman"/>
          <w:sz w:val="24"/>
          <w:szCs w:val="24"/>
        </w:rPr>
        <w:t>mother</w:t>
      </w:r>
      <w:r w:rsidR="004E096D" w:rsidRPr="003A6E52">
        <w:rPr>
          <w:rFonts w:ascii="Times New Roman" w:hAnsi="Times New Roman" w:cs="Times New Roman"/>
          <w:sz w:val="24"/>
          <w:szCs w:val="24"/>
        </w:rPr>
        <w:t>s</w:t>
      </w:r>
      <w:r w:rsidR="00FE6F4D" w:rsidRPr="003A6E52">
        <w:rPr>
          <w:rFonts w:ascii="Times New Roman" w:hAnsi="Times New Roman" w:cs="Times New Roman"/>
          <w:sz w:val="24"/>
          <w:szCs w:val="24"/>
        </w:rPr>
        <w:t>’</w:t>
      </w:r>
      <w:r w:rsidR="004E096D" w:rsidRPr="003A6E52">
        <w:rPr>
          <w:rFonts w:ascii="Times New Roman" w:hAnsi="Times New Roman" w:cs="Times New Roman"/>
          <w:sz w:val="24"/>
          <w:szCs w:val="24"/>
        </w:rPr>
        <w:t xml:space="preserve"> worry many pathogens are introduced to babies overwhelming their immune system</w:t>
      </w:r>
      <w:r w:rsidR="00FE6F4D" w:rsidRPr="003A6E52">
        <w:rPr>
          <w:rFonts w:ascii="Times New Roman" w:hAnsi="Times New Roman" w:cs="Times New Roman"/>
          <w:sz w:val="24"/>
          <w:szCs w:val="24"/>
        </w:rPr>
        <w:t>. However, it should not be much of concern since children are exposed to germs hence a perfect age for children to be immunized</w:t>
      </w:r>
      <w:r w:rsidR="00180AF2" w:rsidRPr="00180AF2">
        <w:t xml:space="preserve"> </w:t>
      </w:r>
      <w:r w:rsidR="00180AF2">
        <w:t>(CDC, 2015)</w:t>
      </w:r>
      <w:r w:rsidR="00FE6F4D" w:rsidRPr="003A6E52">
        <w:rPr>
          <w:rFonts w:ascii="Times New Roman" w:hAnsi="Times New Roman" w:cs="Times New Roman"/>
          <w:sz w:val="24"/>
          <w:szCs w:val="24"/>
        </w:rPr>
        <w:t xml:space="preserve">. </w:t>
      </w:r>
    </w:p>
    <w:p w:rsidR="003A6E52" w:rsidRPr="003A6E52" w:rsidRDefault="009147B3" w:rsidP="003A6E52">
      <w:pPr>
        <w:pStyle w:val="ListParagraph"/>
        <w:numPr>
          <w:ilvl w:val="0"/>
          <w:numId w:val="1"/>
        </w:numPr>
        <w:spacing w:line="480" w:lineRule="auto"/>
        <w:rPr>
          <w:rFonts w:ascii="Times New Roman" w:hAnsi="Times New Roman" w:cs="Times New Roman"/>
          <w:sz w:val="24"/>
          <w:szCs w:val="24"/>
        </w:rPr>
      </w:pPr>
      <w:r w:rsidRPr="003A6E52">
        <w:rPr>
          <w:rFonts w:ascii="Times New Roman" w:hAnsi="Times New Roman" w:cs="Times New Roman"/>
          <w:sz w:val="24"/>
          <w:szCs w:val="24"/>
        </w:rPr>
        <w:t xml:space="preserve">The Kirby-Bauer test or the disk-diffusion technique is the most generally utilized anti-microbial defenselessness test in figuring out what selection of anti-toxins ought to be </w:t>
      </w:r>
      <w:r w:rsidRPr="003A6E52">
        <w:rPr>
          <w:rFonts w:ascii="Times New Roman" w:hAnsi="Times New Roman" w:cs="Times New Roman"/>
          <w:sz w:val="24"/>
          <w:szCs w:val="24"/>
        </w:rPr>
        <w:lastRenderedPageBreak/>
        <w:t>utilized while treating a disease. This strategy depends on the restraint of bacterial development estimated under standard conditions</w:t>
      </w:r>
      <w:r w:rsidR="00180AF2">
        <w:rPr>
          <w:rFonts w:ascii="Times New Roman" w:hAnsi="Times New Roman" w:cs="Times New Roman"/>
          <w:sz w:val="24"/>
          <w:szCs w:val="24"/>
        </w:rPr>
        <w:t xml:space="preserve"> </w:t>
      </w:r>
      <w:r w:rsidR="00180AF2">
        <w:t>(</w:t>
      </w:r>
      <w:proofErr w:type="spellStart"/>
      <w:r w:rsidR="00180AF2">
        <w:t>Nassar</w:t>
      </w:r>
      <w:proofErr w:type="spellEnd"/>
      <w:r w:rsidR="00180AF2">
        <w:t xml:space="preserve"> et al., 2019, p. 1)</w:t>
      </w:r>
      <w:r w:rsidR="006A6468" w:rsidRPr="003A6E52">
        <w:rPr>
          <w:rFonts w:ascii="Times New Roman" w:hAnsi="Times New Roman" w:cs="Times New Roman"/>
          <w:sz w:val="24"/>
          <w:szCs w:val="24"/>
        </w:rPr>
        <w:t xml:space="preserve">. </w:t>
      </w:r>
    </w:p>
    <w:p w:rsidR="00FE6F4D" w:rsidRPr="003A6E52" w:rsidRDefault="003A6E52" w:rsidP="003A6E52">
      <w:pPr>
        <w:pStyle w:val="ListParagraph"/>
        <w:spacing w:line="480" w:lineRule="auto"/>
        <w:ind w:firstLine="720"/>
        <w:rPr>
          <w:rFonts w:ascii="Times New Roman" w:hAnsi="Times New Roman" w:cs="Times New Roman"/>
          <w:sz w:val="24"/>
          <w:szCs w:val="24"/>
        </w:rPr>
      </w:pPr>
      <w:r w:rsidRPr="003A6E52">
        <w:rPr>
          <w:rFonts w:ascii="Times New Roman" w:hAnsi="Times New Roman" w:cs="Times New Roman"/>
          <w:sz w:val="24"/>
          <w:szCs w:val="24"/>
        </w:rPr>
        <w:t>Bacteria are set on a plate of strong development medium of anti-</w:t>
      </w:r>
      <w:proofErr w:type="spellStart"/>
      <w:r w:rsidRPr="003A6E52">
        <w:rPr>
          <w:rFonts w:ascii="Times New Roman" w:hAnsi="Times New Roman" w:cs="Times New Roman"/>
          <w:sz w:val="24"/>
          <w:szCs w:val="24"/>
        </w:rPr>
        <w:t>microbials</w:t>
      </w:r>
      <w:proofErr w:type="spellEnd"/>
      <w:r w:rsidRPr="003A6E52">
        <w:rPr>
          <w:rFonts w:ascii="Times New Roman" w:hAnsi="Times New Roman" w:cs="Times New Roman"/>
          <w:sz w:val="24"/>
          <w:szCs w:val="24"/>
        </w:rPr>
        <w:t xml:space="preserve"> are added to the plate. After permitting the microorganisms to develop, for the time being, zones of clear media encompassing the circles demonstrate that the anti-microbial represses bacterial development. The centralization of anti-microbial that diffuses into the media diminishes with expanding distance from the source. Accordingly, the more touchy the microscopic organisms are to a given anti-microbial, the bigger the reasonable microorganisms free zone that structures around the circle containing that anti-microbial</w:t>
      </w:r>
      <w:r w:rsidR="00180AF2">
        <w:rPr>
          <w:rFonts w:ascii="Times New Roman" w:hAnsi="Times New Roman" w:cs="Times New Roman"/>
          <w:sz w:val="24"/>
          <w:szCs w:val="24"/>
        </w:rPr>
        <w:t xml:space="preserve"> </w:t>
      </w:r>
      <w:r w:rsidR="00180AF2">
        <w:t>(</w:t>
      </w:r>
      <w:proofErr w:type="spellStart"/>
      <w:r w:rsidR="00180AF2">
        <w:t>Nassar</w:t>
      </w:r>
      <w:proofErr w:type="spellEnd"/>
      <w:r w:rsidR="00180AF2">
        <w:t xml:space="preserve"> et al., 2019, p. 1)</w:t>
      </w:r>
      <w:r w:rsidRPr="003A6E52">
        <w:rPr>
          <w:rFonts w:ascii="Times New Roman" w:hAnsi="Times New Roman" w:cs="Times New Roman"/>
          <w:sz w:val="24"/>
          <w:szCs w:val="24"/>
        </w:rPr>
        <w:t>.</w:t>
      </w:r>
    </w:p>
    <w:p w:rsidR="002419DF" w:rsidRPr="003A6E52" w:rsidRDefault="002419DF" w:rsidP="00A86213">
      <w:pPr>
        <w:pStyle w:val="ListParagraph"/>
        <w:numPr>
          <w:ilvl w:val="0"/>
          <w:numId w:val="1"/>
        </w:numPr>
        <w:spacing w:line="480" w:lineRule="auto"/>
        <w:rPr>
          <w:rFonts w:ascii="Times New Roman" w:hAnsi="Times New Roman" w:cs="Times New Roman"/>
          <w:sz w:val="24"/>
          <w:szCs w:val="24"/>
        </w:rPr>
      </w:pPr>
      <w:r w:rsidRPr="003A6E52">
        <w:rPr>
          <w:rFonts w:ascii="Times New Roman" w:hAnsi="Times New Roman" w:cs="Times New Roman"/>
          <w:sz w:val="24"/>
          <w:szCs w:val="24"/>
        </w:rPr>
        <w:t xml:space="preserve">In any preliminary or investigation the greater the </w:t>
      </w:r>
      <w:r w:rsidRPr="003A6E52">
        <w:rPr>
          <w:rFonts w:ascii="Times New Roman" w:hAnsi="Times New Roman" w:cs="Times New Roman"/>
          <w:sz w:val="24"/>
          <w:szCs w:val="24"/>
        </w:rPr>
        <w:t>sample sizes</w:t>
      </w:r>
      <w:r w:rsidRPr="003A6E52">
        <w:rPr>
          <w:rFonts w:ascii="Times New Roman" w:hAnsi="Times New Roman" w:cs="Times New Roman"/>
          <w:sz w:val="24"/>
          <w:szCs w:val="24"/>
        </w:rPr>
        <w:t xml:space="preserve"> the better. This is on the grounds that you get significantly more dependable information; peculiarities are considerably more liable to be taken out and outrageous qualities have less impact when found the middle value of out over a bigger number. The outcomes are bound to be illustrative of the populace all in all</w:t>
      </w:r>
      <w:r w:rsidR="00180AF2" w:rsidRPr="00180AF2">
        <w:t xml:space="preserve"> </w:t>
      </w:r>
      <w:r w:rsidR="00180AF2">
        <w:t>(</w:t>
      </w:r>
      <w:proofErr w:type="spellStart"/>
      <w:r w:rsidR="00180AF2">
        <w:t>Kwak</w:t>
      </w:r>
      <w:proofErr w:type="spellEnd"/>
      <w:r w:rsidR="00180AF2">
        <w:t xml:space="preserve"> &amp; Kim, 2017, p. 144)</w:t>
      </w:r>
      <w:r w:rsidRPr="003A6E52">
        <w:rPr>
          <w:rFonts w:ascii="Times New Roman" w:hAnsi="Times New Roman" w:cs="Times New Roman"/>
          <w:sz w:val="24"/>
          <w:szCs w:val="24"/>
        </w:rPr>
        <w:t xml:space="preserve">. </w:t>
      </w:r>
    </w:p>
    <w:p w:rsidR="002419DF" w:rsidRPr="003A6E52" w:rsidRDefault="003A6E52" w:rsidP="00A86213">
      <w:pPr>
        <w:pStyle w:val="ListParagraph"/>
        <w:spacing w:line="480" w:lineRule="auto"/>
        <w:ind w:firstLine="720"/>
        <w:rPr>
          <w:rFonts w:ascii="Times New Roman" w:hAnsi="Times New Roman" w:cs="Times New Roman"/>
          <w:sz w:val="24"/>
          <w:szCs w:val="24"/>
        </w:rPr>
      </w:pPr>
      <w:r w:rsidRPr="003A6E52">
        <w:rPr>
          <w:rFonts w:ascii="Times New Roman" w:hAnsi="Times New Roman" w:cs="Times New Roman"/>
        </w:rPr>
        <w:t>Central</w:t>
      </w:r>
      <w:r w:rsidRPr="003A6E52">
        <w:rPr>
          <w:rFonts w:ascii="Times New Roman" w:hAnsi="Times New Roman" w:cs="Times New Roman"/>
        </w:rPr>
        <w:t xml:space="preserve"> limit theorem</w:t>
      </w:r>
      <w:r w:rsidRPr="003A6E52">
        <w:rPr>
          <w:rFonts w:ascii="Times New Roman" w:hAnsi="Times New Roman" w:cs="Times New Roman"/>
          <w:sz w:val="24"/>
          <w:szCs w:val="24"/>
        </w:rPr>
        <w:t xml:space="preserve"> </w:t>
      </w:r>
      <w:r w:rsidR="002419DF" w:rsidRPr="003A6E52">
        <w:rPr>
          <w:rFonts w:ascii="Times New Roman" w:hAnsi="Times New Roman" w:cs="Times New Roman"/>
          <w:sz w:val="24"/>
          <w:szCs w:val="24"/>
        </w:rPr>
        <w:t>says that: given an arbitrary and autonomous sample size of N perceptions each, the appropriation of the test implies approaches ordinariness as the size of N increases, paying little mind to the state of the populace conveyance. Note that the last piece of this assertion eliminates any conditions on the state of populace dispersion from which the examples are taken. Regardless of what appropriation you start with the dissemination of test implies gets typical as the size of the sample increments</w:t>
      </w:r>
      <w:r w:rsidR="00180AF2" w:rsidRPr="00180AF2">
        <w:t xml:space="preserve"> </w:t>
      </w:r>
      <w:r w:rsidR="00180AF2">
        <w:t>(</w:t>
      </w:r>
      <w:proofErr w:type="spellStart"/>
      <w:r w:rsidR="00180AF2">
        <w:t>Kwak</w:t>
      </w:r>
      <w:proofErr w:type="spellEnd"/>
      <w:r w:rsidR="00180AF2">
        <w:t xml:space="preserve"> &amp; Kim, 2017, p. 144)</w:t>
      </w:r>
      <w:r w:rsidR="002419DF" w:rsidRPr="003A6E52">
        <w:rPr>
          <w:rFonts w:ascii="Times New Roman" w:hAnsi="Times New Roman" w:cs="Times New Roman"/>
          <w:sz w:val="24"/>
          <w:szCs w:val="24"/>
        </w:rPr>
        <w:t>.</w:t>
      </w:r>
      <w:r w:rsidR="00180AF2">
        <w:rPr>
          <w:rFonts w:ascii="Times New Roman" w:hAnsi="Times New Roman" w:cs="Times New Roman"/>
          <w:sz w:val="24"/>
          <w:szCs w:val="24"/>
        </w:rPr>
        <w:t xml:space="preserve"> </w:t>
      </w:r>
    </w:p>
    <w:p w:rsidR="00727857" w:rsidRPr="003A6E52" w:rsidRDefault="00727857" w:rsidP="00A86213">
      <w:pPr>
        <w:spacing w:line="480" w:lineRule="auto"/>
        <w:rPr>
          <w:rFonts w:ascii="Times New Roman" w:hAnsi="Times New Roman" w:cs="Times New Roman"/>
          <w:sz w:val="24"/>
          <w:szCs w:val="24"/>
        </w:rPr>
      </w:pPr>
    </w:p>
    <w:p w:rsidR="00D03DB4" w:rsidRPr="00EF0013" w:rsidRDefault="00EF0013" w:rsidP="00D03DB4">
      <w:pPr>
        <w:pStyle w:val="ListParagraph"/>
        <w:numPr>
          <w:ilvl w:val="0"/>
          <w:numId w:val="1"/>
        </w:numPr>
        <w:spacing w:line="480" w:lineRule="auto"/>
        <w:rPr>
          <w:rFonts w:ascii="Times New Roman" w:hAnsi="Times New Roman" w:cs="Times New Roman"/>
          <w:sz w:val="24"/>
          <w:szCs w:val="24"/>
        </w:rPr>
      </w:pPr>
      <w:r w:rsidRPr="00EF0013">
        <w:rPr>
          <w:rFonts w:ascii="Times New Roman" w:hAnsi="Times New Roman" w:cs="Times New Roman"/>
          <w:sz w:val="24"/>
          <w:szCs w:val="24"/>
        </w:rPr>
        <w:lastRenderedPageBreak/>
        <w:t>The normal score for the more limited grouping</w:t>
      </w:r>
      <w:r w:rsidR="00D03DB4">
        <w:rPr>
          <w:rFonts w:ascii="Times New Roman" w:hAnsi="Times New Roman" w:cs="Times New Roman"/>
          <w:sz w:val="24"/>
          <w:szCs w:val="24"/>
        </w:rPr>
        <w:t xml:space="preserve"> (</w:t>
      </w:r>
      <w:r w:rsidR="00D03DB4">
        <w:t>FIDPWE</w:t>
      </w:r>
      <w:r w:rsidR="00D03DB4">
        <w:rPr>
          <w:rFonts w:ascii="Times New Roman" w:hAnsi="Times New Roman" w:cs="Times New Roman"/>
          <w:sz w:val="24"/>
          <w:szCs w:val="24"/>
        </w:rPr>
        <w:t>)</w:t>
      </w:r>
      <w:r w:rsidRPr="00EF0013">
        <w:rPr>
          <w:rFonts w:ascii="Times New Roman" w:hAnsi="Times New Roman" w:cs="Times New Roman"/>
          <w:sz w:val="24"/>
          <w:szCs w:val="24"/>
        </w:rPr>
        <w:t xml:space="preserve"> is bound to be more like one implying the more limited arrangement is bound to coordinate numerous passages in the information base. While the normal score for the more drawn out arrangement</w:t>
      </w:r>
      <w:r w:rsidR="00D03DB4">
        <w:rPr>
          <w:rFonts w:ascii="Times New Roman" w:hAnsi="Times New Roman" w:cs="Times New Roman"/>
          <w:sz w:val="24"/>
          <w:szCs w:val="24"/>
        </w:rPr>
        <w:t xml:space="preserve"> (</w:t>
      </w:r>
      <w:r w:rsidR="00D03DB4">
        <w:t>KRTIAAVNSPLLEVATY</w:t>
      </w:r>
      <w:r w:rsidR="00D03DB4">
        <w:rPr>
          <w:rFonts w:ascii="Times New Roman" w:hAnsi="Times New Roman" w:cs="Times New Roman"/>
          <w:sz w:val="24"/>
          <w:szCs w:val="24"/>
        </w:rPr>
        <w:t>)</w:t>
      </w:r>
      <w:r w:rsidRPr="00EF0013">
        <w:rPr>
          <w:rFonts w:ascii="Times New Roman" w:hAnsi="Times New Roman" w:cs="Times New Roman"/>
          <w:sz w:val="24"/>
          <w:szCs w:val="24"/>
        </w:rPr>
        <w:t xml:space="preserve"> is bound to be more like one implying the more extended succession comprises of the more prominent assortment of amino acids</w:t>
      </w:r>
      <w:r w:rsidR="00D03DB4">
        <w:rPr>
          <w:rFonts w:ascii="Times New Roman" w:hAnsi="Times New Roman" w:cs="Times New Roman"/>
          <w:sz w:val="24"/>
          <w:szCs w:val="24"/>
        </w:rPr>
        <w:t xml:space="preserve"> </w:t>
      </w:r>
      <w:r w:rsidR="00D03DB4" w:rsidRPr="00D03DB4">
        <w:rPr>
          <w:rFonts w:ascii="Times New Roman" w:hAnsi="Times New Roman" w:cs="Times New Roman"/>
          <w:sz w:val="24"/>
          <w:szCs w:val="24"/>
        </w:rPr>
        <w:t>(</w:t>
      </w:r>
      <w:r w:rsidR="00D03DB4">
        <w:rPr>
          <w:rFonts w:ascii="Times New Roman" w:hAnsi="Times New Roman" w:cs="Times New Roman"/>
          <w:sz w:val="24"/>
          <w:szCs w:val="24"/>
        </w:rPr>
        <w:t>Stephen</w:t>
      </w:r>
      <w:r w:rsidR="00D03DB4" w:rsidRPr="00D03DB4">
        <w:rPr>
          <w:rFonts w:ascii="Times New Roman" w:hAnsi="Times New Roman" w:cs="Times New Roman"/>
          <w:sz w:val="24"/>
          <w:szCs w:val="24"/>
        </w:rPr>
        <w:t xml:space="preserve"> et al., 2018)</w:t>
      </w:r>
      <w:r w:rsidR="00D03DB4">
        <w:rPr>
          <w:rFonts w:ascii="Times New Roman" w:hAnsi="Times New Roman" w:cs="Times New Roman"/>
          <w:sz w:val="24"/>
          <w:szCs w:val="24"/>
        </w:rPr>
        <w:t xml:space="preserve"> </w:t>
      </w:r>
    </w:p>
    <w:p w:rsidR="00727857" w:rsidRPr="00EF0013" w:rsidRDefault="00EF0013" w:rsidP="00D03DB4">
      <w:pPr>
        <w:pStyle w:val="ListParagraph"/>
        <w:spacing w:line="480" w:lineRule="auto"/>
        <w:rPr>
          <w:rFonts w:ascii="Times New Roman" w:hAnsi="Times New Roman" w:cs="Times New Roman"/>
          <w:sz w:val="24"/>
          <w:szCs w:val="24"/>
        </w:rPr>
      </w:pPr>
      <w:r w:rsidRPr="00EF0013">
        <w:rPr>
          <w:rFonts w:ascii="Times New Roman" w:hAnsi="Times New Roman" w:cs="Times New Roman"/>
          <w:sz w:val="24"/>
          <w:szCs w:val="24"/>
        </w:rPr>
        <w:t>.</w:t>
      </w:r>
    </w:p>
    <w:p w:rsidR="00180AF2" w:rsidRPr="003A6E52" w:rsidRDefault="00180AF2" w:rsidP="00727857">
      <w:pPr>
        <w:spacing w:before="100" w:beforeAutospacing="1" w:after="100" w:afterAutospacing="1" w:line="240" w:lineRule="auto"/>
        <w:rPr>
          <w:rFonts w:ascii="Times New Roman" w:eastAsia="Times New Roman" w:hAnsi="Times New Roman" w:cs="Times New Roman"/>
          <w:color w:val="333333"/>
          <w:sz w:val="23"/>
          <w:szCs w:val="23"/>
        </w:rPr>
      </w:pPr>
    </w:p>
    <w:p w:rsidR="00727857" w:rsidRPr="003A6E52" w:rsidRDefault="00B31F5B" w:rsidP="00D03DB4">
      <w:pPr>
        <w:pStyle w:val="ListParagraph"/>
        <w:numPr>
          <w:ilvl w:val="0"/>
          <w:numId w:val="1"/>
        </w:numPr>
        <w:spacing w:before="100" w:beforeAutospacing="1" w:after="100" w:afterAutospacing="1" w:line="240" w:lineRule="auto"/>
        <w:rPr>
          <w:rFonts w:ascii="Times New Roman" w:eastAsia="Times New Roman" w:hAnsi="Times New Roman" w:cs="Times New Roman"/>
          <w:color w:val="333333"/>
          <w:sz w:val="23"/>
          <w:szCs w:val="23"/>
        </w:rPr>
      </w:pPr>
      <w:bookmarkStart w:id="0" w:name="_GoBack"/>
      <w:bookmarkEnd w:id="0"/>
      <w:r>
        <w:rPr>
          <w:rFonts w:ascii="Times New Roman" w:eastAsia="Times New Roman" w:hAnsi="Times New Roman" w:cs="Times New Roman"/>
          <w:color w:val="333333"/>
          <w:sz w:val="23"/>
          <w:szCs w:val="23"/>
        </w:rPr>
        <w:t xml:space="preserve">The Confidence Interval </w:t>
      </w:r>
      <w:r w:rsidR="00727857" w:rsidRPr="003A6E52">
        <w:rPr>
          <w:rFonts w:ascii="Times New Roman" w:eastAsia="Times New Roman" w:hAnsi="Times New Roman" w:cs="Times New Roman"/>
          <w:color w:val="333333"/>
          <w:sz w:val="23"/>
          <w:szCs w:val="23"/>
        </w:rPr>
        <w:t>formula is =</w:t>
      </w:r>
    </w:p>
    <w:p w:rsidR="00727857" w:rsidRPr="003A6E52" w:rsidRDefault="00727857" w:rsidP="00727857">
      <w:pPr>
        <w:pStyle w:val="ListParagraph"/>
        <w:spacing w:before="100" w:beforeAutospacing="1" w:after="100" w:afterAutospacing="1" w:line="240" w:lineRule="auto"/>
        <w:rPr>
          <w:rFonts w:ascii="Times New Roman" w:eastAsia="Times New Roman" w:hAnsi="Times New Roman" w:cs="Times New Roman"/>
          <w:color w:val="333333"/>
          <w:sz w:val="24"/>
          <w:szCs w:val="24"/>
        </w:rPr>
      </w:pPr>
      <w:r w:rsidRPr="003A6E52">
        <w:rPr>
          <w:rFonts w:ascii="Times New Roman" w:eastAsia="Times New Roman" w:hAnsi="Times New Roman" w:cs="Times New Roman"/>
          <w:color w:val="333333"/>
          <w:sz w:val="23"/>
          <w:szCs w:val="23"/>
        </w:rPr>
        <w:br/>
      </w:r>
      <m:oMathPara>
        <m:oMath>
          <m:acc>
            <m:accPr>
              <m:chr m:val="̅"/>
              <m:ctrlPr>
                <w:rPr>
                  <w:rFonts w:ascii="Cambria Math" w:eastAsia="Times New Roman" w:hAnsi="Cambria Math" w:cs="Times New Roman"/>
                  <w:i/>
                  <w:color w:val="333333"/>
                  <w:sz w:val="24"/>
                  <w:szCs w:val="24"/>
                </w:rPr>
              </m:ctrlPr>
            </m:accPr>
            <m:e>
              <m:r>
                <w:rPr>
                  <w:rFonts w:ascii="Cambria Math" w:eastAsia="Times New Roman" w:hAnsi="Cambria Math" w:cs="Times New Roman"/>
                  <w:color w:val="333333"/>
                  <w:sz w:val="24"/>
                  <w:szCs w:val="24"/>
                </w:rPr>
                <m:t>X</m:t>
              </m:r>
            </m:e>
          </m:acc>
          <m:r>
            <w:rPr>
              <w:rFonts w:ascii="Cambria Math" w:eastAsia="Times New Roman" w:hAnsi="Cambria Math" w:cs="Times New Roman"/>
              <w:color w:val="333333"/>
              <w:sz w:val="24"/>
              <w:szCs w:val="24"/>
            </w:rPr>
            <m:t xml:space="preserve"> </m:t>
          </m:r>
          <m:r>
            <w:rPr>
              <w:rFonts w:ascii="Cambria Math" w:eastAsia="Times New Roman" w:hAnsi="Cambria Math" w:cs="Times New Roman"/>
              <w:color w:val="333333"/>
              <w:sz w:val="24"/>
              <w:szCs w:val="24"/>
            </w:rPr>
            <m:t xml:space="preserve">±Z </m:t>
          </m:r>
          <m:box>
            <m:boxPr>
              <m:ctrlPr>
                <w:rPr>
                  <w:rFonts w:ascii="Cambria Math" w:eastAsia="Times New Roman" w:hAnsi="Cambria Math" w:cs="Times New Roman"/>
                  <w:i/>
                  <w:color w:val="333333"/>
                  <w:sz w:val="24"/>
                  <w:szCs w:val="24"/>
                </w:rPr>
              </m:ctrlPr>
            </m:boxPr>
            <m:e>
              <m:argPr>
                <m:argSz m:val="-1"/>
              </m:argPr>
              <m:f>
                <m:fPr>
                  <m:ctrlPr>
                    <w:rPr>
                      <w:rFonts w:ascii="Cambria Math" w:eastAsia="Times New Roman" w:hAnsi="Cambria Math" w:cs="Times New Roman"/>
                      <w:i/>
                      <w:color w:val="333333"/>
                      <w:sz w:val="24"/>
                      <w:szCs w:val="24"/>
                    </w:rPr>
                  </m:ctrlPr>
                </m:fPr>
                <m:num>
                  <m:r>
                    <w:rPr>
                      <w:rFonts w:ascii="Cambria Math" w:eastAsia="Times New Roman" w:hAnsi="Cambria Math" w:cs="Times New Roman"/>
                      <w:color w:val="333333"/>
                      <w:sz w:val="24"/>
                      <w:szCs w:val="24"/>
                    </w:rPr>
                    <m:t>s</m:t>
                  </m:r>
                </m:num>
                <m:den>
                  <m:rad>
                    <m:radPr>
                      <m:degHide m:val="1"/>
                      <m:ctrlPr>
                        <w:rPr>
                          <w:rFonts w:ascii="Cambria Math" w:eastAsia="Times New Roman" w:hAnsi="Cambria Math" w:cs="Times New Roman"/>
                          <w:i/>
                          <w:color w:val="333333"/>
                          <w:sz w:val="24"/>
                          <w:szCs w:val="24"/>
                        </w:rPr>
                      </m:ctrlPr>
                    </m:radPr>
                    <m:deg/>
                    <m:e>
                      <m:r>
                        <w:rPr>
                          <w:rFonts w:ascii="Cambria Math" w:eastAsia="Times New Roman" w:hAnsi="Cambria Math" w:cs="Times New Roman"/>
                          <w:color w:val="333333"/>
                          <w:sz w:val="24"/>
                          <w:szCs w:val="24"/>
                        </w:rPr>
                        <m:t>n</m:t>
                      </m:r>
                    </m:e>
                  </m:rad>
                </m:den>
              </m:f>
            </m:e>
          </m:box>
        </m:oMath>
      </m:oMathPara>
    </w:p>
    <w:p w:rsidR="00AF536E" w:rsidRPr="003A6E52" w:rsidRDefault="00AF536E" w:rsidP="00AF536E">
      <w:pPr>
        <w:pStyle w:val="ListParagraph"/>
        <w:spacing w:before="100" w:beforeAutospacing="1" w:after="100" w:afterAutospacing="1" w:line="240" w:lineRule="auto"/>
        <w:rPr>
          <w:rFonts w:ascii="Times New Roman" w:eastAsia="Times New Roman" w:hAnsi="Times New Roman" w:cs="Times New Roman"/>
          <w:color w:val="333333"/>
          <w:sz w:val="24"/>
          <w:szCs w:val="24"/>
        </w:rPr>
      </w:pPr>
      <w:r w:rsidRPr="003A6E52">
        <w:rPr>
          <w:rFonts w:ascii="Times New Roman" w:eastAsia="Times New Roman" w:hAnsi="Times New Roman" w:cs="Times New Roman"/>
          <w:color w:val="333333"/>
          <w:sz w:val="24"/>
          <w:szCs w:val="24"/>
        </w:rPr>
        <w:t>X is the mean</w:t>
      </w:r>
    </w:p>
    <w:p w:rsidR="00AF536E" w:rsidRPr="003A6E52" w:rsidRDefault="00AF536E" w:rsidP="00AF536E">
      <w:pPr>
        <w:pStyle w:val="ListParagraph"/>
        <w:spacing w:before="100" w:beforeAutospacing="1" w:after="100" w:afterAutospacing="1" w:line="240" w:lineRule="auto"/>
        <w:rPr>
          <w:rFonts w:ascii="Times New Roman" w:eastAsia="Times New Roman" w:hAnsi="Times New Roman" w:cs="Times New Roman"/>
          <w:color w:val="333333"/>
          <w:sz w:val="24"/>
          <w:szCs w:val="24"/>
        </w:rPr>
      </w:pPr>
      <w:r w:rsidRPr="003A6E52">
        <w:rPr>
          <w:rFonts w:ascii="Times New Roman" w:eastAsia="Times New Roman" w:hAnsi="Times New Roman" w:cs="Times New Roman"/>
          <w:color w:val="333333"/>
          <w:sz w:val="24"/>
          <w:szCs w:val="24"/>
        </w:rPr>
        <w:t>Z is the Z-value from the table below</w:t>
      </w:r>
      <w:r w:rsidRPr="003A6E52">
        <w:rPr>
          <w:rFonts w:ascii="Times New Roman" w:eastAsia="Times New Roman" w:hAnsi="Times New Roman" w:cs="Times New Roman"/>
          <w:color w:val="333333"/>
          <w:sz w:val="24"/>
          <w:szCs w:val="24"/>
        </w:rPr>
        <w:t>; Z of 95% interval is 1.960</w:t>
      </w:r>
    </w:p>
    <w:p w:rsidR="00AF536E" w:rsidRPr="003A6E52" w:rsidRDefault="00AF536E" w:rsidP="00AF536E">
      <w:pPr>
        <w:pStyle w:val="ListParagraph"/>
        <w:spacing w:before="100" w:beforeAutospacing="1" w:after="100" w:afterAutospacing="1" w:line="240" w:lineRule="auto"/>
        <w:rPr>
          <w:rFonts w:ascii="Times New Roman" w:eastAsia="Times New Roman" w:hAnsi="Times New Roman" w:cs="Times New Roman"/>
          <w:color w:val="333333"/>
          <w:sz w:val="24"/>
          <w:szCs w:val="24"/>
        </w:rPr>
      </w:pPr>
      <w:proofErr w:type="gramStart"/>
      <w:r w:rsidRPr="003A6E52">
        <w:rPr>
          <w:rFonts w:ascii="Times New Roman" w:eastAsia="Times New Roman" w:hAnsi="Times New Roman" w:cs="Times New Roman"/>
          <w:color w:val="333333"/>
          <w:sz w:val="24"/>
          <w:szCs w:val="24"/>
        </w:rPr>
        <w:t>s</w:t>
      </w:r>
      <w:proofErr w:type="gramEnd"/>
      <w:r w:rsidRPr="003A6E52">
        <w:rPr>
          <w:rFonts w:ascii="Times New Roman" w:eastAsia="Times New Roman" w:hAnsi="Times New Roman" w:cs="Times New Roman"/>
          <w:color w:val="333333"/>
          <w:sz w:val="24"/>
          <w:szCs w:val="24"/>
        </w:rPr>
        <w:t xml:space="preserve"> is the standard deviation</w:t>
      </w:r>
    </w:p>
    <w:p w:rsidR="00AF536E" w:rsidRPr="003A6E52" w:rsidRDefault="00AF536E" w:rsidP="00AF536E">
      <w:pPr>
        <w:pStyle w:val="ListParagraph"/>
        <w:spacing w:before="100" w:beforeAutospacing="1" w:after="100" w:afterAutospacing="1" w:line="240" w:lineRule="auto"/>
        <w:rPr>
          <w:rFonts w:ascii="Times New Roman" w:eastAsia="Times New Roman" w:hAnsi="Times New Roman" w:cs="Times New Roman"/>
          <w:color w:val="333333"/>
          <w:sz w:val="24"/>
          <w:szCs w:val="24"/>
        </w:rPr>
      </w:pPr>
      <w:proofErr w:type="gramStart"/>
      <w:r w:rsidRPr="003A6E52">
        <w:rPr>
          <w:rFonts w:ascii="Times New Roman" w:eastAsia="Times New Roman" w:hAnsi="Times New Roman" w:cs="Times New Roman"/>
          <w:color w:val="333333"/>
          <w:sz w:val="24"/>
          <w:szCs w:val="24"/>
        </w:rPr>
        <w:t>n</w:t>
      </w:r>
      <w:proofErr w:type="gramEnd"/>
      <w:r w:rsidRPr="003A6E52">
        <w:rPr>
          <w:rFonts w:ascii="Times New Roman" w:eastAsia="Times New Roman" w:hAnsi="Times New Roman" w:cs="Times New Roman"/>
          <w:color w:val="333333"/>
          <w:sz w:val="24"/>
          <w:szCs w:val="24"/>
        </w:rPr>
        <w:t xml:space="preserve"> is the number of observations</w:t>
      </w:r>
    </w:p>
    <w:p w:rsidR="00AF536E" w:rsidRPr="003A6E52" w:rsidRDefault="00AF536E" w:rsidP="00AF536E">
      <w:pPr>
        <w:pStyle w:val="ListParagraph"/>
        <w:spacing w:before="100" w:beforeAutospacing="1" w:after="100" w:afterAutospacing="1" w:line="240" w:lineRule="auto"/>
        <w:rPr>
          <w:rFonts w:ascii="Times New Roman" w:eastAsia="Times New Roman" w:hAnsi="Times New Roman" w:cs="Times New Roman"/>
          <w:color w:val="333333"/>
          <w:sz w:val="24"/>
          <w:szCs w:val="24"/>
        </w:rPr>
      </w:pPr>
    </w:p>
    <w:p w:rsidR="00727857" w:rsidRPr="003A6E52" w:rsidRDefault="00AF536E" w:rsidP="00727857">
      <w:pPr>
        <w:pStyle w:val="ListParagraph"/>
        <w:spacing w:before="100" w:beforeAutospacing="1" w:after="100" w:afterAutospacing="1" w:line="240" w:lineRule="auto"/>
        <w:rPr>
          <w:rFonts w:ascii="Times New Roman" w:eastAsia="Times New Roman" w:hAnsi="Times New Roman" w:cs="Times New Roman"/>
          <w:color w:val="333333"/>
          <w:sz w:val="24"/>
          <w:szCs w:val="24"/>
        </w:rPr>
      </w:pPr>
      <w:r w:rsidRPr="003A6E52">
        <w:rPr>
          <w:rFonts w:ascii="Times New Roman" w:eastAsia="Times New Roman" w:hAnsi="Times New Roman" w:cs="Times New Roman"/>
          <w:color w:val="333333"/>
          <w:sz w:val="24"/>
          <w:szCs w:val="24"/>
        </w:rPr>
        <w:t>Given that the sample</w:t>
      </w:r>
      <w:r w:rsidR="00727857" w:rsidRPr="003A6E52">
        <w:rPr>
          <w:rFonts w:ascii="Times New Roman" w:eastAsia="Times New Roman" w:hAnsi="Times New Roman" w:cs="Times New Roman"/>
          <w:color w:val="333333"/>
          <w:sz w:val="24"/>
          <w:szCs w:val="24"/>
        </w:rPr>
        <w:t xml:space="preserve"> size is less than 30, </w:t>
      </w:r>
      <w:r w:rsidRPr="003A6E52">
        <w:rPr>
          <w:rFonts w:ascii="Times New Roman" w:eastAsia="Times New Roman" w:hAnsi="Times New Roman" w:cs="Times New Roman"/>
          <w:color w:val="333333"/>
          <w:sz w:val="24"/>
          <w:szCs w:val="24"/>
        </w:rPr>
        <w:t>hence</w:t>
      </w:r>
      <w:r w:rsidR="00727857" w:rsidRPr="003A6E52">
        <w:rPr>
          <w:rFonts w:ascii="Times New Roman" w:eastAsia="Times New Roman" w:hAnsi="Times New Roman" w:cs="Times New Roman"/>
          <w:color w:val="333333"/>
          <w:sz w:val="24"/>
          <w:szCs w:val="24"/>
        </w:rPr>
        <w:t xml:space="preserve"> using the POPULATION standard deviation.</w:t>
      </w:r>
    </w:p>
    <w:p w:rsidR="00727857" w:rsidRPr="003A6E52" w:rsidRDefault="00727857" w:rsidP="00727857">
      <w:pPr>
        <w:pStyle w:val="ListParagraph"/>
        <w:spacing w:before="100" w:beforeAutospacing="1" w:after="100" w:afterAutospacing="1" w:line="240" w:lineRule="auto"/>
        <w:rPr>
          <w:rFonts w:ascii="Times New Roman" w:eastAsia="Times New Roman" w:hAnsi="Times New Roman" w:cs="Times New Roman"/>
          <w:color w:val="333333"/>
          <w:sz w:val="24"/>
          <w:szCs w:val="24"/>
        </w:rPr>
      </w:pPr>
    </w:p>
    <w:p w:rsidR="00AF536E" w:rsidRPr="003A6E52" w:rsidRDefault="00727857" w:rsidP="00727857">
      <w:pPr>
        <w:pStyle w:val="ListParagraph"/>
        <w:spacing w:before="100" w:beforeAutospacing="1" w:after="100" w:afterAutospacing="1" w:line="240" w:lineRule="auto"/>
        <w:rPr>
          <w:rFonts w:ascii="Times New Roman" w:eastAsia="Times New Roman" w:hAnsi="Times New Roman" w:cs="Times New Roman"/>
          <w:color w:val="333333"/>
          <w:sz w:val="24"/>
          <w:szCs w:val="24"/>
        </w:rPr>
      </w:pPr>
      <w:r w:rsidRPr="003A6E52">
        <w:rPr>
          <w:rFonts w:ascii="Times New Roman" w:eastAsia="Times New Roman" w:hAnsi="Times New Roman" w:cs="Times New Roman"/>
          <w:color w:val="333333"/>
          <w:sz w:val="24"/>
          <w:szCs w:val="24"/>
        </w:rPr>
        <w:t xml:space="preserve">95% Confidence Interval: </w:t>
      </w:r>
      <m:oMath>
        <m:r>
          <w:rPr>
            <w:rFonts w:ascii="Cambria Math" w:eastAsia="Times New Roman" w:hAnsi="Cambria Math" w:cs="Times New Roman"/>
            <w:color w:val="333333"/>
            <w:sz w:val="24"/>
            <w:szCs w:val="24"/>
          </w:rPr>
          <m:t>15</m:t>
        </m:r>
        <m:r>
          <w:rPr>
            <w:rFonts w:ascii="Cambria Math" w:eastAsia="Times New Roman" w:hAnsi="Cambria Math" w:cs="Times New Roman"/>
            <w:color w:val="333333"/>
            <w:sz w:val="24"/>
            <w:szCs w:val="24"/>
          </w:rPr>
          <m:t xml:space="preserve"> ±</m:t>
        </m:r>
        <m:r>
          <w:rPr>
            <w:rFonts w:ascii="Cambria Math" w:eastAsia="Times New Roman" w:hAnsi="Cambria Math" w:cs="Times New Roman"/>
            <w:color w:val="333333"/>
            <w:sz w:val="24"/>
            <w:szCs w:val="24"/>
          </w:rPr>
          <m:t>1.96</m:t>
        </m:r>
        <m:r>
          <w:rPr>
            <w:rFonts w:ascii="Cambria Math" w:eastAsia="Times New Roman" w:hAnsi="Cambria Math" w:cs="Times New Roman"/>
            <w:color w:val="333333"/>
            <w:sz w:val="24"/>
            <w:szCs w:val="24"/>
          </w:rPr>
          <m:t xml:space="preserve"> </m:t>
        </m:r>
        <m:box>
          <m:boxPr>
            <m:ctrlPr>
              <w:rPr>
                <w:rFonts w:ascii="Cambria Math" w:eastAsia="Times New Roman" w:hAnsi="Cambria Math" w:cs="Times New Roman"/>
                <w:i/>
                <w:color w:val="333333"/>
                <w:sz w:val="24"/>
                <w:szCs w:val="24"/>
              </w:rPr>
            </m:ctrlPr>
          </m:boxPr>
          <m:e>
            <m:argPr>
              <m:argSz m:val="-1"/>
            </m:argPr>
            <m:f>
              <m:fPr>
                <m:ctrlPr>
                  <w:rPr>
                    <w:rFonts w:ascii="Cambria Math" w:eastAsia="Times New Roman" w:hAnsi="Cambria Math" w:cs="Times New Roman"/>
                    <w:i/>
                    <w:color w:val="333333"/>
                    <w:sz w:val="24"/>
                    <w:szCs w:val="24"/>
                  </w:rPr>
                </m:ctrlPr>
              </m:fPr>
              <m:num>
                <m:r>
                  <w:rPr>
                    <w:rFonts w:ascii="Cambria Math" w:eastAsia="Times New Roman" w:hAnsi="Cambria Math" w:cs="Times New Roman"/>
                    <w:color w:val="333333"/>
                    <w:sz w:val="24"/>
                    <w:szCs w:val="24"/>
                  </w:rPr>
                  <m:t>2</m:t>
                </m:r>
              </m:num>
              <m:den>
                <m:rad>
                  <m:radPr>
                    <m:degHide m:val="1"/>
                    <m:ctrlPr>
                      <w:rPr>
                        <w:rFonts w:ascii="Cambria Math" w:eastAsia="Times New Roman" w:hAnsi="Cambria Math" w:cs="Times New Roman"/>
                        <w:i/>
                        <w:color w:val="333333"/>
                        <w:sz w:val="24"/>
                        <w:szCs w:val="24"/>
                      </w:rPr>
                    </m:ctrlPr>
                  </m:radPr>
                  <m:deg/>
                  <m:e>
                    <m:r>
                      <w:rPr>
                        <w:rFonts w:ascii="Cambria Math" w:eastAsia="Times New Roman" w:hAnsi="Cambria Math" w:cs="Times New Roman"/>
                        <w:color w:val="333333"/>
                        <w:sz w:val="24"/>
                        <w:szCs w:val="24"/>
                      </w:rPr>
                      <m:t>25</m:t>
                    </m:r>
                  </m:e>
                </m:rad>
              </m:den>
            </m:f>
          </m:e>
        </m:box>
      </m:oMath>
    </w:p>
    <w:p w:rsidR="00727857" w:rsidRPr="003A6E52" w:rsidRDefault="002C637E" w:rsidP="00727857">
      <w:pPr>
        <w:pStyle w:val="ListParagraph"/>
        <w:spacing w:before="100" w:beforeAutospacing="1" w:after="100" w:afterAutospacing="1" w:line="240" w:lineRule="auto"/>
        <w:rPr>
          <w:rFonts w:ascii="Times New Roman" w:eastAsia="Times New Roman" w:hAnsi="Times New Roman" w:cs="Times New Roman"/>
          <w:color w:val="333333"/>
          <w:sz w:val="24"/>
          <w:szCs w:val="24"/>
        </w:rPr>
      </w:pPr>
      <w:r w:rsidRPr="003A6E52">
        <w:rPr>
          <w:rFonts w:ascii="Times New Roman" w:eastAsia="Times New Roman" w:hAnsi="Times New Roman" w:cs="Times New Roman"/>
          <w:color w:val="333333"/>
          <w:sz w:val="24"/>
          <w:szCs w:val="24"/>
        </w:rPr>
        <w:t xml:space="preserve">= </w:t>
      </w:r>
      <w:r w:rsidR="00727857" w:rsidRPr="003A6E52">
        <w:rPr>
          <w:rFonts w:ascii="Times New Roman" w:eastAsia="Times New Roman" w:hAnsi="Times New Roman" w:cs="Times New Roman"/>
          <w:color w:val="333333"/>
          <w:sz w:val="24"/>
          <w:szCs w:val="24"/>
        </w:rPr>
        <w:t>15 ± 0.784</w:t>
      </w:r>
    </w:p>
    <w:p w:rsidR="00727857" w:rsidRPr="003A6E52" w:rsidRDefault="002C637E" w:rsidP="00727857">
      <w:pPr>
        <w:pStyle w:val="ListParagraph"/>
        <w:spacing w:before="100" w:beforeAutospacing="1" w:after="100" w:afterAutospacing="1" w:line="240" w:lineRule="auto"/>
        <w:rPr>
          <w:rFonts w:ascii="Times New Roman" w:eastAsia="Times New Roman" w:hAnsi="Times New Roman" w:cs="Times New Roman"/>
          <w:color w:val="333333"/>
          <w:sz w:val="24"/>
          <w:szCs w:val="24"/>
        </w:rPr>
      </w:pPr>
      <w:r w:rsidRPr="003A6E52">
        <w:rPr>
          <w:rFonts w:ascii="Times New Roman" w:eastAsia="Times New Roman" w:hAnsi="Times New Roman" w:cs="Times New Roman"/>
          <w:color w:val="333333"/>
          <w:sz w:val="24"/>
          <w:szCs w:val="24"/>
        </w:rPr>
        <w:t xml:space="preserve">= </w:t>
      </w:r>
      <w:r w:rsidR="00727857" w:rsidRPr="003A6E52">
        <w:rPr>
          <w:rFonts w:ascii="Times New Roman" w:eastAsia="Times New Roman" w:hAnsi="Times New Roman" w:cs="Times New Roman"/>
          <w:color w:val="333333"/>
          <w:sz w:val="24"/>
          <w:szCs w:val="24"/>
        </w:rPr>
        <w:t>(14.2 to 15.8)</w:t>
      </w:r>
    </w:p>
    <w:p w:rsidR="00727857" w:rsidRPr="003A6E52" w:rsidRDefault="00727857" w:rsidP="00727857">
      <w:pPr>
        <w:pStyle w:val="ListParagraph"/>
        <w:spacing w:before="100" w:beforeAutospacing="1" w:after="100" w:afterAutospacing="1" w:line="240" w:lineRule="auto"/>
        <w:rPr>
          <w:rFonts w:ascii="Times New Roman" w:eastAsia="Times New Roman" w:hAnsi="Times New Roman" w:cs="Times New Roman"/>
          <w:color w:val="333333"/>
          <w:sz w:val="24"/>
          <w:szCs w:val="24"/>
        </w:rPr>
      </w:pPr>
    </w:p>
    <w:p w:rsidR="002C637E" w:rsidRPr="003A6E52" w:rsidRDefault="00727857" w:rsidP="002C637E">
      <w:pPr>
        <w:pStyle w:val="ListParagraph"/>
        <w:spacing w:before="100" w:beforeAutospacing="1" w:after="100" w:afterAutospacing="1" w:line="240" w:lineRule="auto"/>
        <w:rPr>
          <w:rFonts w:ascii="Times New Roman" w:eastAsia="Times New Roman" w:hAnsi="Times New Roman" w:cs="Times New Roman"/>
          <w:color w:val="333333"/>
          <w:sz w:val="24"/>
          <w:szCs w:val="24"/>
        </w:rPr>
      </w:pPr>
      <w:r w:rsidRPr="003A6E52">
        <w:rPr>
          <w:rFonts w:ascii="Times New Roman" w:eastAsia="Times New Roman" w:hAnsi="Times New Roman" w:cs="Times New Roman"/>
          <w:color w:val="333333"/>
          <w:sz w:val="24"/>
          <w:szCs w:val="24"/>
        </w:rPr>
        <w:t>"With 95% confidence the population mean is between 14.2 and 15.8, based on only 25 samples.</w:t>
      </w:r>
      <w:r w:rsidR="002C637E" w:rsidRPr="003A6E52">
        <w:rPr>
          <w:rFonts w:ascii="Times New Roman" w:eastAsia="Times New Roman" w:hAnsi="Times New Roman" w:cs="Times New Roman"/>
          <w:color w:val="333333"/>
          <w:sz w:val="24"/>
          <w:szCs w:val="24"/>
        </w:rPr>
        <w:t xml:space="preserve"> </w:t>
      </w:r>
      <w:r w:rsidR="002C637E" w:rsidRPr="003A6E52">
        <w:rPr>
          <w:rFonts w:ascii="Times New Roman" w:eastAsia="Times New Roman" w:hAnsi="Times New Roman" w:cs="Times New Roman"/>
          <w:color w:val="333333"/>
          <w:sz w:val="24"/>
          <w:szCs w:val="24"/>
        </w:rPr>
        <w:t xml:space="preserve">It </w:t>
      </w:r>
      <w:r w:rsidR="002C637E" w:rsidRPr="003A6E52">
        <w:rPr>
          <w:rFonts w:ascii="Times New Roman" w:eastAsia="Times New Roman" w:hAnsi="Times New Roman" w:cs="Times New Roman"/>
          <w:color w:val="333333"/>
          <w:sz w:val="24"/>
          <w:szCs w:val="24"/>
        </w:rPr>
        <w:t>is viable to say that th</w:t>
      </w:r>
      <w:r w:rsidR="00DF2368" w:rsidRPr="003A6E52">
        <w:rPr>
          <w:rFonts w:ascii="Times New Roman" w:eastAsia="Times New Roman" w:hAnsi="Times New Roman" w:cs="Times New Roman"/>
          <w:color w:val="333333"/>
          <w:sz w:val="24"/>
          <w:szCs w:val="24"/>
        </w:rPr>
        <w:t>e population</w:t>
      </w:r>
      <w:r w:rsidR="002C637E" w:rsidRPr="003A6E52">
        <w:rPr>
          <w:rFonts w:ascii="Times New Roman" w:eastAsia="Times New Roman" w:hAnsi="Times New Roman" w:cs="Times New Roman"/>
          <w:color w:val="333333"/>
          <w:sz w:val="24"/>
          <w:szCs w:val="24"/>
        </w:rPr>
        <w:t xml:space="preserve"> </w:t>
      </w:r>
      <w:r w:rsidR="00DF2368" w:rsidRPr="003A6E52">
        <w:rPr>
          <w:rFonts w:ascii="Times New Roman" w:eastAsia="Times New Roman" w:hAnsi="Times New Roman" w:cs="Times New Roman"/>
          <w:color w:val="333333"/>
          <w:sz w:val="24"/>
          <w:szCs w:val="24"/>
        </w:rPr>
        <w:t>mean do not falls within this range implying the entire interval is above the target value of</w:t>
      </w:r>
      <w:r w:rsidR="003222FB">
        <w:rPr>
          <w:rFonts w:ascii="Times New Roman" w:eastAsia="Times New Roman" w:hAnsi="Times New Roman" w:cs="Times New Roman"/>
          <w:color w:val="333333"/>
          <w:sz w:val="24"/>
          <w:szCs w:val="24"/>
        </w:rPr>
        <w:t>12mcg/dl</w:t>
      </w:r>
      <w:r w:rsidR="00DF2368" w:rsidRPr="003A6E52">
        <w:rPr>
          <w:rFonts w:ascii="Times New Roman" w:eastAsia="Times New Roman" w:hAnsi="Times New Roman" w:cs="Times New Roman"/>
          <w:color w:val="333333"/>
          <w:sz w:val="24"/>
          <w:szCs w:val="24"/>
        </w:rPr>
        <w:t>, so this part's mean stress level is likely above the target value</w:t>
      </w:r>
      <w:r w:rsidR="00B31F5B">
        <w:rPr>
          <w:rFonts w:ascii="Times New Roman" w:eastAsia="Times New Roman" w:hAnsi="Times New Roman" w:cs="Times New Roman"/>
          <w:color w:val="333333"/>
          <w:sz w:val="24"/>
          <w:szCs w:val="24"/>
        </w:rPr>
        <w:t xml:space="preserve"> </w:t>
      </w:r>
      <w:r w:rsidR="00B31F5B">
        <w:t>(</w:t>
      </w:r>
      <w:proofErr w:type="spellStart"/>
      <w:r w:rsidR="00B31F5B">
        <w:t>Mcleod</w:t>
      </w:r>
      <w:proofErr w:type="spellEnd"/>
      <w:r w:rsidR="00B31F5B">
        <w:t>, 2019)</w:t>
      </w:r>
      <w:r w:rsidR="00DF2368" w:rsidRPr="003A6E52">
        <w:rPr>
          <w:rFonts w:ascii="Times New Roman" w:eastAsia="Times New Roman" w:hAnsi="Times New Roman" w:cs="Times New Roman"/>
          <w:color w:val="333333"/>
          <w:sz w:val="24"/>
          <w:szCs w:val="24"/>
        </w:rPr>
        <w:t xml:space="preserve">. </w:t>
      </w:r>
    </w:p>
    <w:p w:rsidR="002C637E" w:rsidRPr="003A6E52" w:rsidRDefault="002C637E" w:rsidP="002C637E">
      <w:pPr>
        <w:pStyle w:val="ListParagraph"/>
        <w:spacing w:before="100" w:beforeAutospacing="1" w:after="100" w:afterAutospacing="1" w:line="240" w:lineRule="auto"/>
        <w:rPr>
          <w:rFonts w:ascii="Times New Roman" w:eastAsia="Times New Roman" w:hAnsi="Times New Roman" w:cs="Times New Roman"/>
          <w:color w:val="333333"/>
          <w:sz w:val="24"/>
          <w:szCs w:val="24"/>
        </w:rPr>
      </w:pPr>
    </w:p>
    <w:p w:rsidR="002C637E" w:rsidRPr="003A6E52" w:rsidRDefault="002C637E" w:rsidP="002C637E">
      <w:pPr>
        <w:pStyle w:val="ListParagraph"/>
        <w:spacing w:before="100" w:beforeAutospacing="1" w:after="100" w:afterAutospacing="1" w:line="240" w:lineRule="auto"/>
        <w:rPr>
          <w:rFonts w:ascii="Times New Roman" w:eastAsia="Times New Roman" w:hAnsi="Times New Roman" w:cs="Times New Roman"/>
          <w:color w:val="333333"/>
          <w:sz w:val="24"/>
          <w:szCs w:val="24"/>
        </w:rPr>
      </w:pPr>
    </w:p>
    <w:p w:rsidR="00180AF2" w:rsidRDefault="00180AF2">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rsidR="002C637E" w:rsidRDefault="00180AF2" w:rsidP="00180AF2">
      <w:pPr>
        <w:pStyle w:val="ListParagraph"/>
        <w:spacing w:before="100" w:beforeAutospacing="1" w:after="100" w:afterAutospacing="1"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Reference</w:t>
      </w:r>
    </w:p>
    <w:p w:rsidR="00D14762" w:rsidRDefault="00D14762" w:rsidP="00D14762">
      <w:pPr>
        <w:pStyle w:val="NormalWeb"/>
        <w:spacing w:line="480" w:lineRule="auto"/>
        <w:ind w:left="720" w:hanging="720"/>
      </w:pPr>
      <w:proofErr w:type="gramStart"/>
      <w:r>
        <w:t>CDC. (2015).</w:t>
      </w:r>
      <w:proofErr w:type="gramEnd"/>
      <w:r>
        <w:t xml:space="preserve"> </w:t>
      </w:r>
      <w:proofErr w:type="gramStart"/>
      <w:r>
        <w:rPr>
          <w:i/>
          <w:iCs/>
        </w:rPr>
        <w:t>Multiple Vaccinations at Once | Vaccine Safety | CDC</w:t>
      </w:r>
      <w:r>
        <w:t>.</w:t>
      </w:r>
      <w:proofErr w:type="gramEnd"/>
      <w:r>
        <w:t xml:space="preserve"> Cdc.Gov. https://www.cdc.gov/vaccinesafety/concerns/multiple-vaccines-immunity.html</w:t>
      </w:r>
    </w:p>
    <w:p w:rsidR="00D14762" w:rsidRDefault="00D14762" w:rsidP="00D14762">
      <w:pPr>
        <w:pStyle w:val="NormalWeb"/>
        <w:spacing w:line="480" w:lineRule="auto"/>
        <w:ind w:left="720" w:hanging="720"/>
      </w:pPr>
      <w:proofErr w:type="spellStart"/>
      <w:proofErr w:type="gramStart"/>
      <w:r>
        <w:t>Immunisation</w:t>
      </w:r>
      <w:proofErr w:type="spellEnd"/>
      <w:r>
        <w:t xml:space="preserve"> Advisory Centre.</w:t>
      </w:r>
      <w:proofErr w:type="gramEnd"/>
      <w:r>
        <w:t xml:space="preserve"> (2020, January 8). </w:t>
      </w:r>
      <w:proofErr w:type="gramStart"/>
      <w:r>
        <w:rPr>
          <w:i/>
          <w:iCs/>
        </w:rPr>
        <w:t>A brief history of vaccination</w:t>
      </w:r>
      <w:r>
        <w:t>.</w:t>
      </w:r>
      <w:proofErr w:type="gramEnd"/>
      <w:r>
        <w:t xml:space="preserve"> https://www.immune.org.nz/vaccines/vaccine-development/brief-history-vaccination</w:t>
      </w:r>
    </w:p>
    <w:p w:rsidR="00D14762" w:rsidRDefault="00D14762" w:rsidP="00D14762">
      <w:pPr>
        <w:pStyle w:val="NormalWeb"/>
        <w:spacing w:line="480" w:lineRule="auto"/>
        <w:ind w:left="720" w:hanging="720"/>
      </w:pPr>
      <w:proofErr w:type="spellStart"/>
      <w:proofErr w:type="gramStart"/>
      <w:r>
        <w:t>Kwak</w:t>
      </w:r>
      <w:proofErr w:type="spellEnd"/>
      <w:r>
        <w:t>, S. G., &amp; Kim, J. H. (2017).</w:t>
      </w:r>
      <w:proofErr w:type="gramEnd"/>
      <w:r>
        <w:t xml:space="preserve"> Central limit theorem: the cornerstone of modern statistics. </w:t>
      </w:r>
      <w:proofErr w:type="gramStart"/>
      <w:r>
        <w:rPr>
          <w:i/>
          <w:iCs/>
        </w:rPr>
        <w:t>Korean Journal of Anesthesiology</w:t>
      </w:r>
      <w:r>
        <w:t xml:space="preserve">, </w:t>
      </w:r>
      <w:r>
        <w:rPr>
          <w:i/>
          <w:iCs/>
        </w:rPr>
        <w:t>70</w:t>
      </w:r>
      <w:r>
        <w:t>(2), 144.</w:t>
      </w:r>
      <w:proofErr w:type="gramEnd"/>
      <w:r>
        <w:t xml:space="preserve"> https://doi.org/10.4097/kjae.2017.70.2.144</w:t>
      </w:r>
    </w:p>
    <w:p w:rsidR="00D14762" w:rsidRDefault="00D14762" w:rsidP="00D14762">
      <w:pPr>
        <w:pStyle w:val="NormalWeb"/>
        <w:spacing w:line="480" w:lineRule="auto"/>
        <w:ind w:left="720" w:hanging="720"/>
      </w:pPr>
      <w:proofErr w:type="spellStart"/>
      <w:r>
        <w:t>Mcleod</w:t>
      </w:r>
      <w:proofErr w:type="spellEnd"/>
      <w:r>
        <w:t xml:space="preserve">, S. (2019, June 10). </w:t>
      </w:r>
      <w:r>
        <w:rPr>
          <w:i/>
          <w:iCs/>
        </w:rPr>
        <w:t>Z-Score: What are Confidence Intervals in Statistics?</w:t>
      </w:r>
      <w:r>
        <w:t xml:space="preserve"> </w:t>
      </w:r>
      <w:proofErr w:type="spellStart"/>
      <w:proofErr w:type="gramStart"/>
      <w:r>
        <w:t>Simplypsychology</w:t>
      </w:r>
      <w:proofErr w:type="spellEnd"/>
      <w:r>
        <w:t>.</w:t>
      </w:r>
      <w:proofErr w:type="gramEnd"/>
      <w:r>
        <w:t xml:space="preserve"> https://www.simplypsychology.org/confidence-interval.html</w:t>
      </w:r>
    </w:p>
    <w:p w:rsidR="00D14762" w:rsidRDefault="00D14762" w:rsidP="00D14762">
      <w:pPr>
        <w:pStyle w:val="NormalWeb"/>
        <w:spacing w:line="480" w:lineRule="auto"/>
        <w:ind w:left="720" w:hanging="720"/>
      </w:pPr>
      <w:proofErr w:type="spellStart"/>
      <w:r>
        <w:t>Nassar</w:t>
      </w:r>
      <w:proofErr w:type="spellEnd"/>
      <w:r>
        <w:t xml:space="preserve">, M. S. M., </w:t>
      </w:r>
      <w:proofErr w:type="spellStart"/>
      <w:r>
        <w:t>Hazzah</w:t>
      </w:r>
      <w:proofErr w:type="spellEnd"/>
      <w:r>
        <w:t xml:space="preserve">, W. A., &amp; </w:t>
      </w:r>
      <w:proofErr w:type="spellStart"/>
      <w:r>
        <w:t>Bakr</w:t>
      </w:r>
      <w:proofErr w:type="spellEnd"/>
      <w:r>
        <w:t xml:space="preserve">, W. M. K. (2019). Evaluation of antibiotic susceptibility test results: how guilty a laboratory could be? </w:t>
      </w:r>
      <w:proofErr w:type="gramStart"/>
      <w:r>
        <w:rPr>
          <w:i/>
          <w:iCs/>
        </w:rPr>
        <w:t>Journal of the Egyptian Public Health Association</w:t>
      </w:r>
      <w:r>
        <w:t xml:space="preserve">, </w:t>
      </w:r>
      <w:r>
        <w:rPr>
          <w:i/>
          <w:iCs/>
        </w:rPr>
        <w:t>94</w:t>
      </w:r>
      <w:r>
        <w:t>(1), 1.</w:t>
      </w:r>
      <w:proofErr w:type="gramEnd"/>
      <w:r>
        <w:t xml:space="preserve"> </w:t>
      </w:r>
      <w:hyperlink r:id="rId6" w:history="1">
        <w:r w:rsidR="00D03DB4" w:rsidRPr="00625B91">
          <w:rPr>
            <w:rStyle w:val="Hyperlink"/>
          </w:rPr>
          <w:t>https://doi.org/10.1186/s42506-018-0006-1</w:t>
        </w:r>
      </w:hyperlink>
    </w:p>
    <w:p w:rsidR="00D03DB4" w:rsidRDefault="00D03DB4" w:rsidP="00D14762">
      <w:pPr>
        <w:pStyle w:val="NormalWeb"/>
        <w:spacing w:line="480" w:lineRule="auto"/>
        <w:ind w:left="720" w:hanging="720"/>
      </w:pPr>
      <w:r w:rsidRPr="00D03DB4">
        <w:t xml:space="preserve">Stephen F. </w:t>
      </w:r>
      <w:proofErr w:type="spellStart"/>
      <w:r w:rsidRPr="00D03DB4">
        <w:t>Altschul</w:t>
      </w:r>
      <w:proofErr w:type="spellEnd"/>
      <w:r w:rsidRPr="00D03DB4">
        <w:t xml:space="preserve">, Thomas L. Madden, Alejandro A. </w:t>
      </w:r>
      <w:proofErr w:type="spellStart"/>
      <w:r w:rsidRPr="00D03DB4">
        <w:t>Schäffer</w:t>
      </w:r>
      <w:proofErr w:type="spellEnd"/>
      <w:r w:rsidRPr="00D03DB4">
        <w:t xml:space="preserve">, </w:t>
      </w:r>
      <w:proofErr w:type="spellStart"/>
      <w:r w:rsidRPr="00D03DB4">
        <w:t>Jinghui</w:t>
      </w:r>
      <w:proofErr w:type="spellEnd"/>
      <w:r w:rsidRPr="00D03DB4">
        <w:t xml:space="preserve"> Zhang, </w:t>
      </w:r>
      <w:proofErr w:type="spellStart"/>
      <w:r w:rsidRPr="00D03DB4">
        <w:t>Zheng</w:t>
      </w:r>
      <w:proofErr w:type="spellEnd"/>
      <w:r w:rsidRPr="00D03DB4">
        <w:t xml:space="preserve"> Zhang, Webb Miller, and David J. </w:t>
      </w:r>
      <w:proofErr w:type="spellStart"/>
      <w:r w:rsidRPr="00D03DB4">
        <w:t>Lipman</w:t>
      </w:r>
      <w:proofErr w:type="spellEnd"/>
      <w:r w:rsidRPr="00D03DB4">
        <w:t xml:space="preserve"> (1997), "Gapped BLAST and PSI-BLAST: a new generation of protein database search programs", Nucleic Acids Res. 25:3389-3402.</w:t>
      </w:r>
    </w:p>
    <w:p w:rsidR="00D14762" w:rsidRDefault="00D14762" w:rsidP="00D14762">
      <w:pPr>
        <w:pStyle w:val="NormalWeb"/>
        <w:spacing w:line="480" w:lineRule="auto"/>
        <w:ind w:left="720" w:hanging="720"/>
      </w:pPr>
      <w:r>
        <w:t xml:space="preserve">Writers, S. (2019, November 22). </w:t>
      </w:r>
      <w:r>
        <w:rPr>
          <w:i/>
          <w:iCs/>
        </w:rPr>
        <w:t>How Vaccines Work</w:t>
      </w:r>
      <w:r>
        <w:t>. PublicHealth.Org. https://www.publichealth.org/public-awareness/understanding-vaccines/vaccines-work/</w:t>
      </w:r>
    </w:p>
    <w:p w:rsidR="00180AF2" w:rsidRPr="003A6E52" w:rsidRDefault="00180AF2" w:rsidP="00180AF2">
      <w:pPr>
        <w:pStyle w:val="ListParagraph"/>
        <w:spacing w:before="100" w:beforeAutospacing="1" w:after="100" w:afterAutospacing="1" w:line="240" w:lineRule="auto"/>
        <w:rPr>
          <w:rFonts w:ascii="Times New Roman" w:eastAsia="Times New Roman" w:hAnsi="Times New Roman" w:cs="Times New Roman"/>
          <w:color w:val="333333"/>
          <w:sz w:val="24"/>
          <w:szCs w:val="24"/>
        </w:rPr>
      </w:pPr>
    </w:p>
    <w:sectPr w:rsidR="00180AF2" w:rsidRPr="003A6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F418A"/>
    <w:multiLevelType w:val="hybridMultilevel"/>
    <w:tmpl w:val="865E2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2MTA1MjY0NTE2MrBU0lEKTi0uzszPAykwrAUAvi2flSwAAAA="/>
  </w:docVars>
  <w:rsids>
    <w:rsidRoot w:val="00522ABC"/>
    <w:rsid w:val="00180AF2"/>
    <w:rsid w:val="002419DF"/>
    <w:rsid w:val="002C637E"/>
    <w:rsid w:val="003222FB"/>
    <w:rsid w:val="003A6E52"/>
    <w:rsid w:val="004E096D"/>
    <w:rsid w:val="00522ABC"/>
    <w:rsid w:val="006A6468"/>
    <w:rsid w:val="00727857"/>
    <w:rsid w:val="009147B3"/>
    <w:rsid w:val="00A86213"/>
    <w:rsid w:val="00AF536E"/>
    <w:rsid w:val="00B31F5B"/>
    <w:rsid w:val="00BF6962"/>
    <w:rsid w:val="00C15EBA"/>
    <w:rsid w:val="00D03DB4"/>
    <w:rsid w:val="00D14762"/>
    <w:rsid w:val="00DF2368"/>
    <w:rsid w:val="00EF0013"/>
    <w:rsid w:val="00F76A7E"/>
    <w:rsid w:val="00FE6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F4D"/>
    <w:pPr>
      <w:ind w:left="720"/>
      <w:contextualSpacing/>
    </w:pPr>
  </w:style>
  <w:style w:type="character" w:styleId="PlaceholderText">
    <w:name w:val="Placeholder Text"/>
    <w:basedOn w:val="DefaultParagraphFont"/>
    <w:uiPriority w:val="99"/>
    <w:semiHidden/>
    <w:rsid w:val="00727857"/>
    <w:rPr>
      <w:color w:val="808080"/>
    </w:rPr>
  </w:style>
  <w:style w:type="paragraph" w:styleId="BalloonText">
    <w:name w:val="Balloon Text"/>
    <w:basedOn w:val="Normal"/>
    <w:link w:val="BalloonTextChar"/>
    <w:uiPriority w:val="99"/>
    <w:semiHidden/>
    <w:unhideWhenUsed/>
    <w:rsid w:val="00727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857"/>
    <w:rPr>
      <w:rFonts w:ascii="Tahoma" w:hAnsi="Tahoma" w:cs="Tahoma"/>
      <w:sz w:val="16"/>
      <w:szCs w:val="16"/>
    </w:rPr>
  </w:style>
  <w:style w:type="paragraph" w:styleId="NormalWeb">
    <w:name w:val="Normal (Web)"/>
    <w:basedOn w:val="Normal"/>
    <w:uiPriority w:val="99"/>
    <w:semiHidden/>
    <w:unhideWhenUsed/>
    <w:rsid w:val="00180A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03D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F4D"/>
    <w:pPr>
      <w:ind w:left="720"/>
      <w:contextualSpacing/>
    </w:pPr>
  </w:style>
  <w:style w:type="character" w:styleId="PlaceholderText">
    <w:name w:val="Placeholder Text"/>
    <w:basedOn w:val="DefaultParagraphFont"/>
    <w:uiPriority w:val="99"/>
    <w:semiHidden/>
    <w:rsid w:val="00727857"/>
    <w:rPr>
      <w:color w:val="808080"/>
    </w:rPr>
  </w:style>
  <w:style w:type="paragraph" w:styleId="BalloonText">
    <w:name w:val="Balloon Text"/>
    <w:basedOn w:val="Normal"/>
    <w:link w:val="BalloonTextChar"/>
    <w:uiPriority w:val="99"/>
    <w:semiHidden/>
    <w:unhideWhenUsed/>
    <w:rsid w:val="00727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857"/>
    <w:rPr>
      <w:rFonts w:ascii="Tahoma" w:hAnsi="Tahoma" w:cs="Tahoma"/>
      <w:sz w:val="16"/>
      <w:szCs w:val="16"/>
    </w:rPr>
  </w:style>
  <w:style w:type="paragraph" w:styleId="NormalWeb">
    <w:name w:val="Normal (Web)"/>
    <w:basedOn w:val="Normal"/>
    <w:uiPriority w:val="99"/>
    <w:semiHidden/>
    <w:unhideWhenUsed/>
    <w:rsid w:val="00180A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03D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412326">
      <w:bodyDiv w:val="1"/>
      <w:marLeft w:val="0"/>
      <w:marRight w:val="0"/>
      <w:marTop w:val="0"/>
      <w:marBottom w:val="0"/>
      <w:divBdr>
        <w:top w:val="none" w:sz="0" w:space="0" w:color="auto"/>
        <w:left w:val="none" w:sz="0" w:space="0" w:color="auto"/>
        <w:bottom w:val="none" w:sz="0" w:space="0" w:color="auto"/>
        <w:right w:val="none" w:sz="0" w:space="0" w:color="auto"/>
      </w:divBdr>
    </w:div>
    <w:div w:id="1446189772">
      <w:bodyDiv w:val="1"/>
      <w:marLeft w:val="0"/>
      <w:marRight w:val="0"/>
      <w:marTop w:val="0"/>
      <w:marBottom w:val="0"/>
      <w:divBdr>
        <w:top w:val="none" w:sz="0" w:space="0" w:color="auto"/>
        <w:left w:val="none" w:sz="0" w:space="0" w:color="auto"/>
        <w:bottom w:val="none" w:sz="0" w:space="0" w:color="auto"/>
        <w:right w:val="none" w:sz="0" w:space="0" w:color="auto"/>
      </w:divBdr>
    </w:div>
    <w:div w:id="178769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86/s42506-018-0006-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4</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2021-02-09T10:35:00Z</dcterms:created>
  <dcterms:modified xsi:type="dcterms:W3CDTF">2021-02-09T15:37:00Z</dcterms:modified>
</cp:coreProperties>
</file>