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97CAC" w14:textId="45F7DE57" w:rsidR="00981D69" w:rsidRDefault="00981D69"/>
    <w:p w14:paraId="5119858C" w14:textId="6F8C8884" w:rsidR="00983325" w:rsidRDefault="00983325" w:rsidP="00983325">
      <w:pPr>
        <w:tabs>
          <w:tab w:val="left" w:pos="2340"/>
        </w:tabs>
      </w:pPr>
      <w:r>
        <w:fldChar w:fldCharType="begin"/>
      </w:r>
      <w:r>
        <w:instrText xml:space="preserve"> HYPERLINK "</w:instrText>
      </w:r>
      <w:r w:rsidRPr="00983325">
        <w:instrText>https://dergipark.org.tr/tr/download/article-file/713830</w:instrText>
      </w:r>
      <w:r>
        <w:instrText xml:space="preserve">" </w:instrText>
      </w:r>
      <w:r>
        <w:fldChar w:fldCharType="separate"/>
      </w:r>
      <w:r w:rsidRPr="009E7302">
        <w:rPr>
          <w:rStyle w:val="Hyperlink"/>
        </w:rPr>
        <w:t>https://dergipark.org.tr/tr/download/article-file/713830</w:t>
      </w:r>
      <w:r>
        <w:fldChar w:fldCharType="end"/>
      </w:r>
      <w:r>
        <w:t xml:space="preserve"> </w:t>
      </w:r>
      <w:proofErr w:type="spellStart"/>
      <w:r>
        <w:t>lado&amp;wardaugh</w:t>
      </w:r>
      <w:proofErr w:type="spellEnd"/>
    </w:p>
    <w:p w14:paraId="5BA65468" w14:textId="257F40B0" w:rsidR="00983325" w:rsidRDefault="00983325" w:rsidP="00983325">
      <w:pPr>
        <w:tabs>
          <w:tab w:val="left" w:pos="2340"/>
        </w:tabs>
      </w:pPr>
    </w:p>
    <w:p w14:paraId="1DE154D7" w14:textId="230677F2" w:rsidR="00983325" w:rsidRDefault="00983325" w:rsidP="00983325">
      <w:pPr>
        <w:tabs>
          <w:tab w:val="left" w:pos="2340"/>
        </w:tabs>
      </w:pPr>
      <w:hyperlink r:id="rId4" w:history="1">
        <w:r w:rsidRPr="009E7302">
          <w:rPr>
            <w:rStyle w:val="Hyperlink"/>
          </w:rPr>
          <w:t>https://onlinelibrary.wiley.com/doi/full/10.1002/9781405198431.wbeal0561.pub2</w:t>
        </w:r>
      </w:hyperlink>
      <w:r>
        <w:t xml:space="preserve"> </w:t>
      </w:r>
      <w:proofErr w:type="spellStart"/>
      <w:r>
        <w:t>selinker</w:t>
      </w:r>
      <w:proofErr w:type="spellEnd"/>
    </w:p>
    <w:p w14:paraId="7BDAFD82" w14:textId="67064916" w:rsidR="00983325" w:rsidRDefault="00983325" w:rsidP="00983325">
      <w:pPr>
        <w:tabs>
          <w:tab w:val="left" w:pos="2340"/>
        </w:tabs>
      </w:pPr>
    </w:p>
    <w:p w14:paraId="1A49CEB1" w14:textId="2FAD2E77" w:rsidR="00983325" w:rsidRDefault="00983325" w:rsidP="00983325">
      <w:pPr>
        <w:tabs>
          <w:tab w:val="left" w:pos="2340"/>
        </w:tabs>
      </w:pPr>
      <w:hyperlink r:id="rId5" w:history="1">
        <w:r w:rsidRPr="009E7302">
          <w:rPr>
            <w:rStyle w:val="Hyperlink"/>
          </w:rPr>
          <w:t>http://psychology.iresearchnet.com/developmental-psychology/education-and-learning/competence-versus-performance/</w:t>
        </w:r>
      </w:hyperlink>
      <w:r>
        <w:t xml:space="preserve"> Chomsky</w:t>
      </w:r>
    </w:p>
    <w:p w14:paraId="7C95365C" w14:textId="77777777" w:rsidR="00983325" w:rsidRDefault="00983325" w:rsidP="00983325">
      <w:pPr>
        <w:tabs>
          <w:tab w:val="left" w:pos="2340"/>
        </w:tabs>
      </w:pPr>
    </w:p>
    <w:p w14:paraId="2506E886" w14:textId="77777777" w:rsidR="00983325" w:rsidRPr="00983325" w:rsidRDefault="00983325" w:rsidP="00983325">
      <w:pPr>
        <w:rPr>
          <w:rFonts w:ascii="Times New Roman" w:eastAsia="Times New Roman" w:hAnsi="Times New Roman" w:cs="Times New Roman"/>
        </w:rPr>
      </w:pPr>
      <w:hyperlink r:id="rId6" w:history="1">
        <w:r w:rsidRPr="009E7302">
          <w:rPr>
            <w:rStyle w:val="Hyperlink"/>
          </w:rPr>
          <w:t>https://www.thoughtco.com/sapir-whorf-hypothesis-1691924</w:t>
        </w:r>
      </w:hyperlink>
      <w:r>
        <w:t xml:space="preserve">  </w:t>
      </w:r>
      <w:r w:rsidRPr="00983325">
        <w:rPr>
          <w:rFonts w:ascii="Verdana" w:eastAsia="Times New Roman" w:hAnsi="Verdana" w:cs="Times New Roman"/>
          <w:color w:val="494C4E"/>
          <w:spacing w:val="3"/>
          <w:shd w:val="clear" w:color="auto" w:fill="FFFFFF"/>
        </w:rPr>
        <w:t>Sapir Whorf </w:t>
      </w:r>
    </w:p>
    <w:p w14:paraId="2216B885" w14:textId="1513146E" w:rsidR="00983325" w:rsidRDefault="00983325" w:rsidP="00983325">
      <w:pPr>
        <w:tabs>
          <w:tab w:val="left" w:pos="2340"/>
        </w:tabs>
      </w:pPr>
    </w:p>
    <w:p w14:paraId="70DA1771" w14:textId="21DC5783" w:rsidR="00983325" w:rsidRDefault="00983325" w:rsidP="00983325">
      <w:pPr>
        <w:tabs>
          <w:tab w:val="left" w:pos="2340"/>
        </w:tabs>
      </w:pPr>
    </w:p>
    <w:p w14:paraId="1D1603A0" w14:textId="0D9B9C1A" w:rsidR="00983325" w:rsidRDefault="00983325" w:rsidP="00983325">
      <w:pPr>
        <w:tabs>
          <w:tab w:val="left" w:pos="2340"/>
        </w:tabs>
      </w:pPr>
    </w:p>
    <w:p w14:paraId="25C05449" w14:textId="5E6E28E5" w:rsidR="00983325" w:rsidRDefault="00983325" w:rsidP="00983325">
      <w:pPr>
        <w:tabs>
          <w:tab w:val="left" w:pos="2340"/>
        </w:tabs>
      </w:pPr>
    </w:p>
    <w:p w14:paraId="4323B1C2" w14:textId="089F6AA4" w:rsidR="00983325" w:rsidRDefault="00983325" w:rsidP="00983325">
      <w:pPr>
        <w:tabs>
          <w:tab w:val="left" w:pos="2340"/>
        </w:tabs>
      </w:pPr>
      <w:r>
        <w:t>(DO NOT COPY. CLASSMATES POST)</w:t>
      </w:r>
    </w:p>
    <w:p w14:paraId="05E7AC37" w14:textId="77777777" w:rsidR="00983325" w:rsidRDefault="00983325" w:rsidP="00983325">
      <w:pPr>
        <w:pStyle w:val="NormalWeb"/>
        <w:spacing w:before="120" w:beforeAutospacing="0" w:after="240" w:afterAutospacing="0"/>
        <w:rPr>
          <w:rFonts w:ascii="Lato" w:hAnsi="Lato"/>
          <w:color w:val="494C4E"/>
          <w:spacing w:val="3"/>
          <w:sz w:val="29"/>
          <w:szCs w:val="29"/>
        </w:rPr>
      </w:pPr>
      <w:r>
        <w:rPr>
          <w:rFonts w:ascii="Lato" w:hAnsi="Lato"/>
          <w:color w:val="494C4E"/>
          <w:spacing w:val="3"/>
          <w:sz w:val="29"/>
          <w:szCs w:val="29"/>
        </w:rPr>
        <w:t xml:space="preserve">Whorf, Lado, </w:t>
      </w:r>
      <w:proofErr w:type="spellStart"/>
      <w:r>
        <w:rPr>
          <w:rFonts w:ascii="Lato" w:hAnsi="Lato"/>
          <w:color w:val="494C4E"/>
          <w:spacing w:val="3"/>
          <w:sz w:val="29"/>
          <w:szCs w:val="29"/>
        </w:rPr>
        <w:t>Wardaugh</w:t>
      </w:r>
      <w:proofErr w:type="spellEnd"/>
      <w:r>
        <w:rPr>
          <w:rFonts w:ascii="Lato" w:hAnsi="Lato"/>
          <w:color w:val="494C4E"/>
          <w:spacing w:val="3"/>
          <w:sz w:val="29"/>
          <w:szCs w:val="29"/>
        </w:rPr>
        <w:t xml:space="preserve"> and </w:t>
      </w:r>
      <w:proofErr w:type="spellStart"/>
      <w:r>
        <w:rPr>
          <w:rFonts w:ascii="Lato" w:hAnsi="Lato"/>
          <w:color w:val="494C4E"/>
          <w:spacing w:val="3"/>
          <w:sz w:val="29"/>
          <w:szCs w:val="29"/>
        </w:rPr>
        <w:t>Selinker</w:t>
      </w:r>
      <w:proofErr w:type="spellEnd"/>
      <w:r>
        <w:rPr>
          <w:rFonts w:ascii="Lato" w:hAnsi="Lato"/>
          <w:color w:val="494C4E"/>
          <w:spacing w:val="3"/>
          <w:sz w:val="29"/>
          <w:szCs w:val="29"/>
        </w:rPr>
        <w:t xml:space="preserve"> each have sperate theories that include a similar idea that crosses over each respected theory. The idea includes to a certain extent there is a connection between L1 and L2 </w:t>
      </w:r>
      <w:proofErr w:type="gramStart"/>
      <w:r>
        <w:rPr>
          <w:rFonts w:ascii="Lato" w:hAnsi="Lato"/>
          <w:color w:val="494C4E"/>
          <w:spacing w:val="3"/>
          <w:sz w:val="29"/>
          <w:szCs w:val="29"/>
        </w:rPr>
        <w:t>in regard to</w:t>
      </w:r>
      <w:proofErr w:type="gramEnd"/>
      <w:r>
        <w:rPr>
          <w:rFonts w:ascii="Lato" w:hAnsi="Lato"/>
          <w:color w:val="494C4E"/>
          <w:spacing w:val="3"/>
          <w:sz w:val="29"/>
          <w:szCs w:val="29"/>
        </w:rPr>
        <w:t xml:space="preserve"> being able to understand language. This relates to the works of Schumann, </w:t>
      </w:r>
      <w:proofErr w:type="spellStart"/>
      <w:r>
        <w:rPr>
          <w:rFonts w:ascii="Lato" w:hAnsi="Lato"/>
          <w:color w:val="494C4E"/>
          <w:spacing w:val="3"/>
          <w:sz w:val="29"/>
          <w:szCs w:val="29"/>
        </w:rPr>
        <w:t>Skutnabb</w:t>
      </w:r>
      <w:proofErr w:type="spellEnd"/>
      <w:r>
        <w:rPr>
          <w:rFonts w:ascii="Lato" w:hAnsi="Lato"/>
          <w:color w:val="494C4E"/>
          <w:spacing w:val="3"/>
          <w:sz w:val="29"/>
          <w:szCs w:val="29"/>
        </w:rPr>
        <w:t xml:space="preserve">-Kangas, Ladson where L2 difficulties can be traced to L1 development. Having the ability to identify where errors are being made that create a barrier for the students ultimately becomes a point of significance to resolve or mitigate. </w:t>
      </w:r>
      <w:proofErr w:type="spellStart"/>
      <w:r>
        <w:rPr>
          <w:rFonts w:ascii="Lato" w:hAnsi="Lato"/>
          <w:color w:val="494C4E"/>
          <w:spacing w:val="3"/>
          <w:sz w:val="29"/>
          <w:szCs w:val="29"/>
        </w:rPr>
        <w:t>Selinker</w:t>
      </w:r>
      <w:proofErr w:type="spellEnd"/>
      <w:r>
        <w:rPr>
          <w:rFonts w:ascii="Lato" w:hAnsi="Lato"/>
          <w:color w:val="494C4E"/>
          <w:spacing w:val="3"/>
          <w:sz w:val="29"/>
          <w:szCs w:val="29"/>
        </w:rPr>
        <w:t xml:space="preserve"> (1972) would include that L2 errors are a contributed due to errors in L1. Eckman (1981) </w:t>
      </w:r>
      <w:proofErr w:type="gramStart"/>
      <w:r>
        <w:rPr>
          <w:rFonts w:ascii="Lato" w:hAnsi="Lato"/>
          <w:color w:val="494C4E"/>
          <w:spacing w:val="3"/>
          <w:sz w:val="29"/>
          <w:szCs w:val="29"/>
        </w:rPr>
        <w:t>notes also</w:t>
      </w:r>
      <w:proofErr w:type="gramEnd"/>
      <w:r>
        <w:rPr>
          <w:rFonts w:ascii="Lato" w:hAnsi="Lato"/>
          <w:color w:val="494C4E"/>
          <w:spacing w:val="3"/>
          <w:sz w:val="29"/>
          <w:szCs w:val="29"/>
        </w:rPr>
        <w:t xml:space="preserve"> problems that may arise when understanding L2 there are expressions that are not used in L1 language that create a barrier for L2 understanding. Systematically Lado (1957) notes that difficulties that are found in L1 can help predict those that will be present in L2. </w:t>
      </w:r>
    </w:p>
    <w:p w14:paraId="23C6684A" w14:textId="77777777" w:rsidR="00983325" w:rsidRDefault="00983325" w:rsidP="00983325">
      <w:pPr>
        <w:pStyle w:val="NormalWeb"/>
        <w:spacing w:before="120" w:beforeAutospacing="0" w:after="240" w:afterAutospacing="0"/>
        <w:rPr>
          <w:rFonts w:ascii="Lato" w:hAnsi="Lato"/>
          <w:color w:val="494C4E"/>
          <w:spacing w:val="3"/>
          <w:sz w:val="29"/>
          <w:szCs w:val="29"/>
        </w:rPr>
      </w:pPr>
      <w:r>
        <w:rPr>
          <w:rFonts w:ascii="Lato" w:hAnsi="Lato"/>
          <w:color w:val="494C4E"/>
          <w:spacing w:val="3"/>
          <w:sz w:val="29"/>
          <w:szCs w:val="29"/>
        </w:rPr>
        <w:t>Cultures are each unique the way that they interact and speak with one another. To be placed in a new cultural setting can disconnect with the way that they understand the new environment around them. Each culture has a different L1 language that will not follow the same sentence format and construction as their own. The first step to take note is the original language from the student’s cultural background and have sufficient cultural competence to implement a culturally responsive teaching environment (Anderson, 2020). By being able to being culturally responsive students will be able to better develop their existing language skills though cultural connections (</w:t>
      </w:r>
      <w:proofErr w:type="spellStart"/>
      <w:r>
        <w:rPr>
          <w:rFonts w:ascii="Lato" w:hAnsi="Lato"/>
          <w:color w:val="494C4E"/>
          <w:spacing w:val="3"/>
          <w:sz w:val="29"/>
          <w:szCs w:val="29"/>
        </w:rPr>
        <w:t>Spathis</w:t>
      </w:r>
      <w:proofErr w:type="spellEnd"/>
      <w:r>
        <w:rPr>
          <w:rFonts w:ascii="Lato" w:hAnsi="Lato"/>
          <w:color w:val="494C4E"/>
          <w:spacing w:val="3"/>
          <w:sz w:val="29"/>
          <w:szCs w:val="29"/>
        </w:rPr>
        <w:t xml:space="preserve">, 2020). As </w:t>
      </w:r>
      <w:r>
        <w:rPr>
          <w:rFonts w:ascii="Lato" w:hAnsi="Lato"/>
          <w:color w:val="494C4E"/>
          <w:spacing w:val="3"/>
          <w:sz w:val="29"/>
          <w:szCs w:val="29"/>
        </w:rPr>
        <w:lastRenderedPageBreak/>
        <w:t>a result, the more a student has developed L1 which includes cultural responsiveness can help better develop L2 (Taha, 2021). Overall having the ability to develop L2 proficiency resides on creating a competent L1 foundation. The build a proper foundation one of the items needed will be to include cultural understanding and responsiveness to provide greater L2 learning outcomes.</w:t>
      </w:r>
    </w:p>
    <w:p w14:paraId="3DC38CAF" w14:textId="77777777" w:rsidR="00983325" w:rsidRPr="00983325" w:rsidRDefault="00983325" w:rsidP="00983325">
      <w:pPr>
        <w:tabs>
          <w:tab w:val="left" w:pos="2340"/>
        </w:tabs>
      </w:pPr>
    </w:p>
    <w:sectPr w:rsidR="00983325" w:rsidRPr="00983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325"/>
    <w:rsid w:val="00981D69"/>
    <w:rsid w:val="00983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5B7D9F"/>
  <w15:chartTrackingRefBased/>
  <w15:docId w15:val="{053B34ED-220A-574D-9405-8BEAB981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325"/>
    <w:rPr>
      <w:color w:val="0563C1" w:themeColor="hyperlink"/>
      <w:u w:val="single"/>
    </w:rPr>
  </w:style>
  <w:style w:type="character" w:styleId="UnresolvedMention">
    <w:name w:val="Unresolved Mention"/>
    <w:basedOn w:val="DefaultParagraphFont"/>
    <w:uiPriority w:val="99"/>
    <w:semiHidden/>
    <w:unhideWhenUsed/>
    <w:rsid w:val="00983325"/>
    <w:rPr>
      <w:color w:val="605E5C"/>
      <w:shd w:val="clear" w:color="auto" w:fill="E1DFDD"/>
    </w:rPr>
  </w:style>
  <w:style w:type="character" w:styleId="FollowedHyperlink">
    <w:name w:val="FollowedHyperlink"/>
    <w:basedOn w:val="DefaultParagraphFont"/>
    <w:uiPriority w:val="99"/>
    <w:semiHidden/>
    <w:unhideWhenUsed/>
    <w:rsid w:val="00983325"/>
    <w:rPr>
      <w:color w:val="954F72" w:themeColor="followedHyperlink"/>
      <w:u w:val="single"/>
    </w:rPr>
  </w:style>
  <w:style w:type="character" w:customStyle="1" w:styleId="apple-converted-space">
    <w:name w:val="apple-converted-space"/>
    <w:basedOn w:val="DefaultParagraphFont"/>
    <w:rsid w:val="00983325"/>
  </w:style>
  <w:style w:type="paragraph" w:styleId="NormalWeb">
    <w:name w:val="Normal (Web)"/>
    <w:basedOn w:val="Normal"/>
    <w:uiPriority w:val="99"/>
    <w:semiHidden/>
    <w:unhideWhenUsed/>
    <w:rsid w:val="0098332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948059">
      <w:bodyDiv w:val="1"/>
      <w:marLeft w:val="0"/>
      <w:marRight w:val="0"/>
      <w:marTop w:val="0"/>
      <w:marBottom w:val="0"/>
      <w:divBdr>
        <w:top w:val="none" w:sz="0" w:space="0" w:color="auto"/>
        <w:left w:val="none" w:sz="0" w:space="0" w:color="auto"/>
        <w:bottom w:val="none" w:sz="0" w:space="0" w:color="auto"/>
        <w:right w:val="none" w:sz="0" w:space="0" w:color="auto"/>
      </w:divBdr>
    </w:div>
    <w:div w:id="134794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oughtco.com/sapir-whorf-hypothesis-1691924" TargetMode="External"/><Relationship Id="rId5" Type="http://schemas.openxmlformats.org/officeDocument/2006/relationships/hyperlink" Target="http://psychology.iresearchnet.com/developmental-psychology/education-and-learning/competence-versus-performance/" TargetMode="External"/><Relationship Id="rId4" Type="http://schemas.openxmlformats.org/officeDocument/2006/relationships/hyperlink" Target="https://onlinelibrary.wiley.com/doi/full/10.1002/9781405198431.wbeal0561.pub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410</Words>
  <Characters>2342</Characters>
  <Application>Microsoft Office Word</Application>
  <DocSecurity>0</DocSecurity>
  <Lines>19</Lines>
  <Paragraphs>5</Paragraphs>
  <ScaleCrop>false</ScaleCrop>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Isabelly De Souza</dc:creator>
  <cp:keywords/>
  <dc:description/>
  <cp:lastModifiedBy>Isabelly De Souza</cp:lastModifiedBy>
  <cp:revision>1</cp:revision>
  <dcterms:created xsi:type="dcterms:W3CDTF">2021-11-10T23:42:00Z</dcterms:created>
  <dcterms:modified xsi:type="dcterms:W3CDTF">2021-11-10T23:47:00Z</dcterms:modified>
</cp:coreProperties>
</file>