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B541D6">
      <w:pPr>
        <w:spacing w:line="480" w:lineRule="auto"/>
        <w:jc w:val="center"/>
        <w:rPr>
          <w:rFonts w:ascii="Times New Roman" w:hAnsi="Times New Roman" w:cs="Times New Roman"/>
          <w:sz w:val="24"/>
          <w:szCs w:val="24"/>
        </w:rPr>
      </w:pPr>
      <w:r>
        <w:rPr>
          <w:rFonts w:ascii="Times New Roman" w:hAnsi="Times New Roman" w:cs="Times New Roman"/>
          <w:sz w:val="24"/>
          <w:szCs w:val="24"/>
        </w:rPr>
        <w:t>HEALTH REFORMS</w:t>
      </w:r>
    </w:p>
    <w:p w:rsidR="00B541D6" w:rsidRDefault="00B541D6" w:rsidP="00B541D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541D6" w:rsidRDefault="00B541D6" w:rsidP="00B541D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B541D6" w:rsidRDefault="00B541D6" w:rsidP="00B541D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FF4701"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lastRenderedPageBreak/>
        <w:t xml:space="preserve">The health care reform to improve the services for the citizens in the </w:t>
      </w:r>
      <w:r w:rsidR="009D4351" w:rsidRPr="004060B5">
        <w:rPr>
          <w:rFonts w:ascii="Times New Roman" w:hAnsi="Times New Roman" w:cs="Times New Roman"/>
          <w:sz w:val="24"/>
          <w:szCs w:val="24"/>
        </w:rPr>
        <w:t>United States</w:t>
      </w:r>
      <w:r w:rsidRPr="004060B5">
        <w:rPr>
          <w:rFonts w:ascii="Times New Roman" w:hAnsi="Times New Roman" w:cs="Times New Roman"/>
          <w:sz w:val="24"/>
          <w:szCs w:val="24"/>
        </w:rPr>
        <w:t xml:space="preserve"> of America will ensure that health facilities must have an appropriate physical environment by providing an environment conducive for the population. The reform will involve designing and organizing the facilities so that there will be privacy and allow f</w:t>
      </w:r>
      <w:r w:rsidRPr="004060B5">
        <w:rPr>
          <w:rFonts w:ascii="Times New Roman" w:hAnsi="Times New Roman" w:cs="Times New Roman"/>
          <w:sz w:val="24"/>
          <w:szCs w:val="24"/>
        </w:rPr>
        <w:t xml:space="preserve">or quality services. This will help in minimizing the transmission of diseases among the patients in the health facilities. Furthermore, the reform aims to enable enough medicines in the facilities; this will help cost-cutting for the patients who may </w:t>
      </w:r>
      <w:r w:rsidR="009D4351" w:rsidRPr="004060B5">
        <w:rPr>
          <w:rFonts w:ascii="Times New Roman" w:hAnsi="Times New Roman" w:cs="Times New Roman"/>
          <w:sz w:val="24"/>
          <w:szCs w:val="24"/>
        </w:rPr>
        <w:t>require</w:t>
      </w:r>
      <w:r w:rsidRPr="004060B5">
        <w:rPr>
          <w:rFonts w:ascii="Times New Roman" w:hAnsi="Times New Roman" w:cs="Times New Roman"/>
          <w:sz w:val="24"/>
          <w:szCs w:val="24"/>
        </w:rPr>
        <w:t xml:space="preserve"> complicated medication that will help them control chronic diseases such as cancer, where they are subjected to paying for the medicines at a high cost. Cost-cutting is a goal of the reform to give the people who have low income can access quality medi</w:t>
      </w:r>
      <w:r w:rsidRPr="004060B5">
        <w:rPr>
          <w:rFonts w:ascii="Times New Roman" w:hAnsi="Times New Roman" w:cs="Times New Roman"/>
          <w:sz w:val="24"/>
          <w:szCs w:val="24"/>
        </w:rPr>
        <w:t xml:space="preserve">cal care like the wealthy citizens. </w:t>
      </w:r>
    </w:p>
    <w:p w:rsidR="003C2212"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 xml:space="preserve">The reform also has initiatives to ensure that facilities have well-trained staff in the </w:t>
      </w:r>
      <w:r w:rsidR="008C13B5" w:rsidRPr="004060B5">
        <w:rPr>
          <w:rFonts w:ascii="Times New Roman" w:hAnsi="Times New Roman" w:cs="Times New Roman"/>
          <w:sz w:val="24"/>
          <w:szCs w:val="24"/>
        </w:rPr>
        <w:t>Medicare</w:t>
      </w:r>
      <w:r w:rsidRPr="004060B5">
        <w:rPr>
          <w:rFonts w:ascii="Times New Roman" w:hAnsi="Times New Roman" w:cs="Times New Roman"/>
          <w:sz w:val="24"/>
          <w:szCs w:val="24"/>
        </w:rPr>
        <w:t xml:space="preserve"> ca</w:t>
      </w:r>
      <w:r w:rsidR="008C13B5" w:rsidRPr="004060B5">
        <w:rPr>
          <w:rFonts w:ascii="Times New Roman" w:hAnsi="Times New Roman" w:cs="Times New Roman"/>
          <w:sz w:val="24"/>
          <w:szCs w:val="24"/>
        </w:rPr>
        <w:t xml:space="preserve">re that will involve an increase in a specialist such as a gynaecologist and others who will help the patients access particular medication for an illness that will require more attention. The reform will consider individuals with disabilities and old age who are faced with a complicated disease as they </w:t>
      </w:r>
      <w:r w:rsidR="00B541D6" w:rsidRPr="004060B5">
        <w:rPr>
          <w:rFonts w:ascii="Times New Roman" w:hAnsi="Times New Roman" w:cs="Times New Roman"/>
          <w:sz w:val="24"/>
          <w:szCs w:val="24"/>
        </w:rPr>
        <w:t>age</w:t>
      </w:r>
      <w:r w:rsidR="00B541D6">
        <w:rPr>
          <w:rFonts w:ascii="Times New Roman" w:hAnsi="Times New Roman" w:cs="Times New Roman"/>
          <w:sz w:val="24"/>
          <w:szCs w:val="24"/>
        </w:rPr>
        <w:t xml:space="preserve"> (Dickman, et al 2017)</w:t>
      </w:r>
      <w:r w:rsidR="008C13B5" w:rsidRPr="004060B5">
        <w:rPr>
          <w:rFonts w:ascii="Times New Roman" w:hAnsi="Times New Roman" w:cs="Times New Roman"/>
          <w:sz w:val="24"/>
          <w:szCs w:val="24"/>
        </w:rPr>
        <w:t xml:space="preserve">. The reform will pay subsidies to cover partially the total cost of treatment when the patient is under medication. The patient is expected to cover the other cost left after government intervention. The federal state will monitor the health insurance coverage paid by the employees and other citizens to avoid exploitation of the people by private insurance companies. The terms of the insurance cover are to be publicized and create awareness to the patients; this is expected to be put in the display information board of the health sectors and their social media platform. </w:t>
      </w:r>
    </w:p>
    <w:p w:rsidR="008C13B5"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The affordable act that the federal government enacted resulted in issues that led to conflicts with the states where they viewed some of the reforms to be detrimental despite the advantage they had to the citizens. The first conflict involved a prohibitio</w:t>
      </w:r>
      <w:r w:rsidRPr="004060B5">
        <w:rPr>
          <w:rFonts w:ascii="Times New Roman" w:hAnsi="Times New Roman" w:cs="Times New Roman"/>
          <w:sz w:val="24"/>
          <w:szCs w:val="24"/>
        </w:rPr>
        <w:t>n on considering individual coverage requirements; the issue was brought by the states where they argued that the act is prohibited by anti-junction act that gave the mandate of the reform can only take place when the government has collected all the taxes</w:t>
      </w:r>
      <w:r w:rsidRPr="004060B5">
        <w:rPr>
          <w:rFonts w:ascii="Times New Roman" w:hAnsi="Times New Roman" w:cs="Times New Roman"/>
          <w:sz w:val="24"/>
          <w:szCs w:val="24"/>
        </w:rPr>
        <w:t xml:space="preserve">. </w:t>
      </w:r>
      <w:r w:rsidR="00CE177F" w:rsidRPr="004060B5">
        <w:rPr>
          <w:rFonts w:ascii="Times New Roman" w:hAnsi="Times New Roman" w:cs="Times New Roman"/>
          <w:sz w:val="24"/>
          <w:szCs w:val="24"/>
        </w:rPr>
        <w:t xml:space="preserve">There was a conflict on the mandate, given that every person should be enrolled in a health insurance premium cover. Although the congress in the federal state has the mandate to give the minimum requirement that each individual should pay and they have also indicated the penalty that in case they have not enrolled, the states wanted to have their own decisions on the individual requirement that the patients in the insurance cover should pay. </w:t>
      </w:r>
      <w:r w:rsidRPr="004060B5">
        <w:rPr>
          <w:rFonts w:ascii="Times New Roman" w:hAnsi="Times New Roman" w:cs="Times New Roman"/>
          <w:sz w:val="24"/>
          <w:szCs w:val="24"/>
        </w:rPr>
        <w:t xml:space="preserve"> </w:t>
      </w:r>
    </w:p>
    <w:p w:rsidR="00CE177F"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The severability of the illness that was to be covered in the</w:t>
      </w:r>
      <w:r w:rsidRPr="004060B5">
        <w:rPr>
          <w:rFonts w:ascii="Times New Roman" w:hAnsi="Times New Roman" w:cs="Times New Roman"/>
          <w:sz w:val="24"/>
          <w:szCs w:val="24"/>
        </w:rPr>
        <w:t xml:space="preserve"> health policy, the states had opposed this reform enacted in the affordable act, and they raised concerns to invalidate the section if it was found to be unconstitutional. There also arose a conflict that was as a result of federal requirements on Medicai</w:t>
      </w:r>
      <w:r w:rsidRPr="004060B5">
        <w:rPr>
          <w:rFonts w:ascii="Times New Roman" w:hAnsi="Times New Roman" w:cs="Times New Roman"/>
          <w:sz w:val="24"/>
          <w:szCs w:val="24"/>
        </w:rPr>
        <w:t xml:space="preserve">d </w:t>
      </w:r>
      <w:r w:rsidR="001B3794" w:rsidRPr="004060B5">
        <w:rPr>
          <w:rFonts w:ascii="Times New Roman" w:hAnsi="Times New Roman" w:cs="Times New Roman"/>
          <w:sz w:val="24"/>
          <w:szCs w:val="24"/>
        </w:rPr>
        <w:t>expansion; the dispute to be settled in the competition is to determine whether congress gave more authority to the states in the expansion of Medicaid eligibility thresholds that could facilitate the states to receive reimbursement of funds from the federal government to promote the program in the health sec</w:t>
      </w:r>
      <w:r w:rsidR="009D4351" w:rsidRPr="004060B5">
        <w:rPr>
          <w:rFonts w:ascii="Times New Roman" w:hAnsi="Times New Roman" w:cs="Times New Roman"/>
          <w:sz w:val="24"/>
          <w:szCs w:val="24"/>
        </w:rPr>
        <w:t>t</w:t>
      </w:r>
      <w:r w:rsidR="001B3794" w:rsidRPr="004060B5">
        <w:rPr>
          <w:rFonts w:ascii="Times New Roman" w:hAnsi="Times New Roman" w:cs="Times New Roman"/>
          <w:sz w:val="24"/>
          <w:szCs w:val="24"/>
        </w:rPr>
        <w:t>or.</w:t>
      </w:r>
      <w:r w:rsidR="009D4351" w:rsidRPr="004060B5">
        <w:rPr>
          <w:rFonts w:ascii="Times New Roman" w:hAnsi="Times New Roman" w:cs="Times New Roman"/>
          <w:sz w:val="24"/>
          <w:szCs w:val="24"/>
        </w:rPr>
        <w:t xml:space="preserve"> Many of the states in America agree on the importance of reducing of cost of the patients in the country. Still, they have an issue with the federal government where the states project an increase of the expenses in the long term. </w:t>
      </w:r>
      <w:r w:rsidR="001B3794" w:rsidRPr="004060B5">
        <w:rPr>
          <w:rFonts w:ascii="Times New Roman" w:hAnsi="Times New Roman" w:cs="Times New Roman"/>
          <w:sz w:val="24"/>
          <w:szCs w:val="24"/>
        </w:rPr>
        <w:t xml:space="preserve"> </w:t>
      </w:r>
      <w:r w:rsidR="009D4351" w:rsidRPr="004060B5">
        <w:rPr>
          <w:rFonts w:ascii="Times New Roman" w:hAnsi="Times New Roman" w:cs="Times New Roman"/>
          <w:sz w:val="24"/>
          <w:szCs w:val="24"/>
        </w:rPr>
        <w:t xml:space="preserve">A bill was introduced regarding states that made them exempted from new requirements concerning health exchanges and insurance rates. The federal government is determined to give directions on the rates to be used in the insurance markets in the country. Finally, there is a conflict where the federal government requires that the states adopt a one-size-fits health care plan, but the states are both ready for this, and they need each state to adapt according to the health care needs of their citizens. </w:t>
      </w:r>
    </w:p>
    <w:p w:rsidR="00AD7373"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 xml:space="preserve">In the standard care approach, a duty is assigned based on certain circumstances that are prevalent to a particular patient </w:t>
      </w:r>
      <w:r w:rsidR="00081FDD" w:rsidRPr="004060B5">
        <w:rPr>
          <w:rFonts w:ascii="Times New Roman" w:hAnsi="Times New Roman" w:cs="Times New Roman"/>
          <w:sz w:val="24"/>
          <w:szCs w:val="24"/>
        </w:rPr>
        <w:t>in a specific condition, time, and place. In contrast, in the current approach, the physicians are faced with problems following the clinical rules strictly because they lack defined standards; this will force the medical staff to make decisions based on their judgements. In the standard approach, patient health records are used as reference standards when the patients visit the hospitals. Still, there is negligence in maintaining the patient history in the medical field</w:t>
      </w:r>
      <w:r w:rsidR="00EB634F" w:rsidRPr="004060B5">
        <w:rPr>
          <w:rFonts w:ascii="Times New Roman" w:hAnsi="Times New Roman" w:cs="Times New Roman"/>
          <w:sz w:val="24"/>
          <w:szCs w:val="24"/>
        </w:rPr>
        <w:t xml:space="preserve"> in the current approach. The spirituality aspect of the standard approach identifies that the mortality rate of believers is reduced; this is due to their ability to cope with stress resulting from coping mechanisms from the religious perspective, which is absent in the current approach</w:t>
      </w:r>
      <w:r w:rsidR="00176F6F">
        <w:rPr>
          <w:rFonts w:ascii="Times New Roman" w:hAnsi="Times New Roman" w:cs="Times New Roman"/>
          <w:sz w:val="24"/>
          <w:szCs w:val="24"/>
        </w:rPr>
        <w:t xml:space="preserve">  (Aldana, &amp; Khachemoune, 2020)</w:t>
      </w:r>
      <w:r w:rsidR="00EB634F" w:rsidRPr="004060B5">
        <w:rPr>
          <w:rFonts w:ascii="Times New Roman" w:hAnsi="Times New Roman" w:cs="Times New Roman"/>
          <w:sz w:val="24"/>
          <w:szCs w:val="24"/>
        </w:rPr>
        <w:t xml:space="preserve">. </w:t>
      </w:r>
    </w:p>
    <w:p w:rsidR="00EB634F"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Spiritual patients utilize the beliefs that help them cope with the ailments and stresses they face in</w:t>
      </w:r>
      <w:r w:rsidRPr="004060B5">
        <w:rPr>
          <w:rFonts w:ascii="Times New Roman" w:hAnsi="Times New Roman" w:cs="Times New Roman"/>
          <w:sz w:val="24"/>
          <w:szCs w:val="24"/>
        </w:rPr>
        <w:t xml:space="preserve"> normal living conditions. In the recovery aspect, spiritual commitment helps in enhancing more recovery for the patients. In the standard approach, the medical staff will improve compassionate hearing from the patients and hear about their fears and pains</w:t>
      </w:r>
      <w:r w:rsidRPr="004060B5">
        <w:rPr>
          <w:rFonts w:ascii="Times New Roman" w:hAnsi="Times New Roman" w:cs="Times New Roman"/>
          <w:sz w:val="24"/>
          <w:szCs w:val="24"/>
        </w:rPr>
        <w:t xml:space="preserve"> in life, contrary to the current approach that requires the patient to give their conditions and the medical physician outlines their prescription to their patients. In standard care, spirituality is critical because this helps in promoting health </w:t>
      </w:r>
      <w:r w:rsidR="00E13D38" w:rsidRPr="004060B5">
        <w:rPr>
          <w:rFonts w:ascii="Times New Roman" w:hAnsi="Times New Roman" w:cs="Times New Roman"/>
          <w:sz w:val="24"/>
          <w:szCs w:val="24"/>
        </w:rPr>
        <w:t>behaviour that</w:t>
      </w:r>
      <w:r w:rsidRPr="004060B5">
        <w:rPr>
          <w:rFonts w:ascii="Times New Roman" w:hAnsi="Times New Roman" w:cs="Times New Roman"/>
          <w:sz w:val="24"/>
          <w:szCs w:val="24"/>
        </w:rPr>
        <w:t xml:space="preserve"> will enhance the </w:t>
      </w:r>
      <w:r w:rsidR="00E13D38" w:rsidRPr="004060B5">
        <w:rPr>
          <w:rFonts w:ascii="Times New Roman" w:hAnsi="Times New Roman" w:cs="Times New Roman"/>
          <w:sz w:val="24"/>
          <w:szCs w:val="24"/>
        </w:rPr>
        <w:t>wellbeing</w:t>
      </w:r>
      <w:r w:rsidRPr="004060B5">
        <w:rPr>
          <w:rFonts w:ascii="Times New Roman" w:hAnsi="Times New Roman" w:cs="Times New Roman"/>
          <w:sz w:val="24"/>
          <w:szCs w:val="24"/>
        </w:rPr>
        <w:t xml:space="preserve"> of the patients as opposed to the current approach. </w:t>
      </w:r>
    </w:p>
    <w:p w:rsidR="00E13D38"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The reforms have become significant by enhancing hospital preparedness program that has been boosted by ensuring that the health care system is improving rapidly by funding other health care coalitions that will collaborate with other health sectors and en</w:t>
      </w:r>
      <w:r w:rsidRPr="004060B5">
        <w:rPr>
          <w:rFonts w:ascii="Times New Roman" w:hAnsi="Times New Roman" w:cs="Times New Roman"/>
          <w:sz w:val="24"/>
          <w:szCs w:val="24"/>
        </w:rPr>
        <w:t>sure that they can quickly respond to urgent matters that arise in the health sector. There is also an initiative of the hospital preparedness program to establish a map that will be used in attending to emergency needs prevalent in the society that is dir</w:t>
      </w:r>
      <w:r w:rsidRPr="004060B5">
        <w:rPr>
          <w:rFonts w:ascii="Times New Roman" w:hAnsi="Times New Roman" w:cs="Times New Roman"/>
          <w:sz w:val="24"/>
          <w:szCs w:val="24"/>
        </w:rPr>
        <w:t>ected to the vulnerable people in the community. The reforms also aim at medical countermeasure distribution that will involve pharmacies and other stakeholders in the health department that will be used in decision making to initiate critical quality medi</w:t>
      </w:r>
      <w:r w:rsidRPr="004060B5">
        <w:rPr>
          <w:rFonts w:ascii="Times New Roman" w:hAnsi="Times New Roman" w:cs="Times New Roman"/>
          <w:sz w:val="24"/>
          <w:szCs w:val="24"/>
        </w:rPr>
        <w:t xml:space="preserve">cal services. </w:t>
      </w:r>
    </w:p>
    <w:p w:rsidR="004E21CF" w:rsidRPr="004060B5"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The reform also has initiatives that will enable the community health safety to be the significant issues to be addressed that will involve agencies and organizations that will be used to improve public health safety to the people. The healt</w:t>
      </w:r>
      <w:r w:rsidRPr="004060B5">
        <w:rPr>
          <w:rFonts w:ascii="Times New Roman" w:hAnsi="Times New Roman" w:cs="Times New Roman"/>
          <w:sz w:val="24"/>
          <w:szCs w:val="24"/>
        </w:rPr>
        <w:t>h facilities will use the public health emergency guide according to the aligned strategies in the reforms responsible for initiating health responses to the public that will depend on the established framework that will guide society's preparedness toward</w:t>
      </w:r>
      <w:r w:rsidRPr="004060B5">
        <w:rPr>
          <w:rFonts w:ascii="Times New Roman" w:hAnsi="Times New Roman" w:cs="Times New Roman"/>
          <w:sz w:val="24"/>
          <w:szCs w:val="24"/>
        </w:rPr>
        <w:t xml:space="preserve">s the health issues. In addition, transparency is much-taken care of in the reforms; this will avoid exploitation of the citizens by the investors. </w:t>
      </w:r>
    </w:p>
    <w:p w:rsidR="005354AB" w:rsidRDefault="00556577" w:rsidP="00176F6F">
      <w:pPr>
        <w:spacing w:line="480" w:lineRule="auto"/>
        <w:ind w:firstLine="720"/>
        <w:rPr>
          <w:rFonts w:ascii="Times New Roman" w:hAnsi="Times New Roman" w:cs="Times New Roman"/>
          <w:sz w:val="24"/>
          <w:szCs w:val="24"/>
        </w:rPr>
      </w:pPr>
      <w:r w:rsidRPr="004060B5">
        <w:rPr>
          <w:rFonts w:ascii="Times New Roman" w:hAnsi="Times New Roman" w:cs="Times New Roman"/>
          <w:sz w:val="24"/>
          <w:szCs w:val="24"/>
        </w:rPr>
        <w:t xml:space="preserve">The proposed amount of the GDP in the health sector in the United States of America should be increased to </w:t>
      </w:r>
      <w:r w:rsidRPr="004060B5">
        <w:rPr>
          <w:rFonts w:ascii="Times New Roman" w:hAnsi="Times New Roman" w:cs="Times New Roman"/>
          <w:sz w:val="24"/>
          <w:szCs w:val="24"/>
        </w:rPr>
        <w:t>20 per cent compared to the initial amount that was 18 per cent in 2020. The increased spending on the GDP will allow the citizens to access quality health care services. In America, the private health sector has been identified to be spending higher amoun</w:t>
      </w:r>
      <w:r w:rsidRPr="004060B5">
        <w:rPr>
          <w:rFonts w:ascii="Times New Roman" w:hAnsi="Times New Roman" w:cs="Times New Roman"/>
          <w:sz w:val="24"/>
          <w:szCs w:val="24"/>
        </w:rPr>
        <w:t xml:space="preserve">ts of money, leading to an increase in the gross domestic program. The increase in the amount of the gross domestic product that has been rated to be 9 per cent from the American private institution is comparable to other countries that have invested in 3 </w:t>
      </w:r>
      <w:r w:rsidRPr="004060B5">
        <w:rPr>
          <w:rFonts w:ascii="Times New Roman" w:hAnsi="Times New Roman" w:cs="Times New Roman"/>
          <w:sz w:val="24"/>
          <w:szCs w:val="24"/>
        </w:rPr>
        <w:t>per cent in the private sector. The gross domestic product will directly impact the health sector because the expenses will be used to cover salaries that are offered to medical physicians. The medical spending per capita in the United States of America is</w:t>
      </w:r>
      <w:r w:rsidRPr="004060B5">
        <w:rPr>
          <w:rFonts w:ascii="Times New Roman" w:hAnsi="Times New Roman" w:cs="Times New Roman"/>
          <w:sz w:val="24"/>
          <w:szCs w:val="24"/>
        </w:rPr>
        <w:t xml:space="preserve"> high; this will require the gross domestic product to increase to the deficit for the expenses incurred during the purchase of medicines. In addition, there are increased inflation rates on the prices of health care services in the United States of Americ</w:t>
      </w:r>
      <w:r w:rsidRPr="004060B5">
        <w:rPr>
          <w:rFonts w:ascii="Times New Roman" w:hAnsi="Times New Roman" w:cs="Times New Roman"/>
          <w:sz w:val="24"/>
          <w:szCs w:val="24"/>
        </w:rPr>
        <w:t>a that has led to a significant increase in the cost of medical services, and this can only be catered for by responsive action of increasing the gross domestic product of the firm. Due to an increase in health complications and medications, the gross dome</w:t>
      </w:r>
      <w:r w:rsidRPr="004060B5">
        <w:rPr>
          <w:rFonts w:ascii="Times New Roman" w:hAnsi="Times New Roman" w:cs="Times New Roman"/>
          <w:sz w:val="24"/>
          <w:szCs w:val="24"/>
        </w:rPr>
        <w:t xml:space="preserve">stic product is expected to increase by 6.2 trillion dollars to finance health care </w:t>
      </w:r>
      <w:r w:rsidR="00176F6F" w:rsidRPr="004060B5">
        <w:rPr>
          <w:rFonts w:ascii="Times New Roman" w:hAnsi="Times New Roman" w:cs="Times New Roman"/>
          <w:sz w:val="24"/>
          <w:szCs w:val="24"/>
        </w:rPr>
        <w:t>services</w:t>
      </w:r>
      <w:r w:rsidR="00176F6F">
        <w:rPr>
          <w:rFonts w:ascii="Times New Roman" w:hAnsi="Times New Roman" w:cs="Times New Roman"/>
          <w:sz w:val="24"/>
          <w:szCs w:val="24"/>
        </w:rPr>
        <w:t xml:space="preserve"> (Galvani, et al 2020)</w:t>
      </w:r>
      <w:r w:rsidRPr="004060B5">
        <w:rPr>
          <w:rFonts w:ascii="Times New Roman" w:hAnsi="Times New Roman" w:cs="Times New Roman"/>
          <w:sz w:val="24"/>
          <w:szCs w:val="24"/>
        </w:rPr>
        <w:t xml:space="preserve">. </w:t>
      </w: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4060B5">
      <w:pPr>
        <w:spacing w:line="480" w:lineRule="auto"/>
        <w:rPr>
          <w:rFonts w:ascii="Times New Roman" w:hAnsi="Times New Roman" w:cs="Times New Roman"/>
          <w:sz w:val="24"/>
          <w:szCs w:val="24"/>
        </w:rPr>
      </w:pPr>
    </w:p>
    <w:p w:rsidR="00B541D6" w:rsidRDefault="00B541D6" w:rsidP="00176F6F">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B541D6" w:rsidRDefault="00B541D6" w:rsidP="00176F6F">
      <w:pPr>
        <w:spacing w:line="480" w:lineRule="auto"/>
        <w:ind w:left="720" w:hanging="720"/>
        <w:rPr>
          <w:rFonts w:ascii="Times New Roman" w:hAnsi="Times New Roman" w:cs="Times New Roman"/>
          <w:sz w:val="24"/>
          <w:szCs w:val="24"/>
        </w:rPr>
      </w:pPr>
      <w:r w:rsidRPr="00B541D6">
        <w:rPr>
          <w:rFonts w:ascii="Times New Roman" w:hAnsi="Times New Roman" w:cs="Times New Roman"/>
          <w:sz w:val="24"/>
          <w:szCs w:val="24"/>
        </w:rPr>
        <w:t>Dickman, S. L., Himmelstein, D. U., &amp; Woolhandler, S. (2017). Inequality and the health-care system in the USA. </w:t>
      </w:r>
      <w:r w:rsidRPr="00B541D6">
        <w:rPr>
          <w:rFonts w:ascii="Times New Roman" w:hAnsi="Times New Roman" w:cs="Times New Roman"/>
          <w:i/>
          <w:iCs/>
          <w:sz w:val="24"/>
          <w:szCs w:val="24"/>
        </w:rPr>
        <w:t>The Lancet</w:t>
      </w:r>
      <w:r w:rsidRPr="00B541D6">
        <w:rPr>
          <w:rFonts w:ascii="Times New Roman" w:hAnsi="Times New Roman" w:cs="Times New Roman"/>
          <w:sz w:val="24"/>
          <w:szCs w:val="24"/>
        </w:rPr>
        <w:t>, </w:t>
      </w:r>
      <w:r w:rsidRPr="00B541D6">
        <w:rPr>
          <w:rFonts w:ascii="Times New Roman" w:hAnsi="Times New Roman" w:cs="Times New Roman"/>
          <w:i/>
          <w:iCs/>
          <w:sz w:val="24"/>
          <w:szCs w:val="24"/>
        </w:rPr>
        <w:t>389</w:t>
      </w:r>
      <w:r w:rsidRPr="00B541D6">
        <w:rPr>
          <w:rFonts w:ascii="Times New Roman" w:hAnsi="Times New Roman" w:cs="Times New Roman"/>
          <w:sz w:val="24"/>
          <w:szCs w:val="24"/>
        </w:rPr>
        <w:t>(10077), 1431-1441.</w:t>
      </w:r>
    </w:p>
    <w:p w:rsidR="00B541D6" w:rsidRDefault="00B541D6" w:rsidP="00176F6F">
      <w:pPr>
        <w:spacing w:line="480" w:lineRule="auto"/>
        <w:ind w:left="720" w:hanging="720"/>
        <w:rPr>
          <w:rFonts w:ascii="Times New Roman" w:hAnsi="Times New Roman" w:cs="Times New Roman"/>
          <w:sz w:val="24"/>
          <w:szCs w:val="24"/>
        </w:rPr>
      </w:pPr>
      <w:r w:rsidRPr="00B541D6">
        <w:rPr>
          <w:rFonts w:ascii="Times New Roman" w:hAnsi="Times New Roman" w:cs="Times New Roman"/>
          <w:sz w:val="24"/>
          <w:szCs w:val="24"/>
        </w:rPr>
        <w:t xml:space="preserve">Aldana, P. C., &amp; Khachemoune, </w:t>
      </w:r>
      <w:r w:rsidR="00176F6F">
        <w:rPr>
          <w:rFonts w:ascii="Times New Roman" w:hAnsi="Times New Roman" w:cs="Times New Roman"/>
          <w:sz w:val="24"/>
          <w:szCs w:val="24"/>
        </w:rPr>
        <w:t>A. (2020).</w:t>
      </w:r>
      <w:r w:rsidRPr="00B541D6">
        <w:rPr>
          <w:rFonts w:ascii="Times New Roman" w:hAnsi="Times New Roman" w:cs="Times New Roman"/>
          <w:sz w:val="24"/>
          <w:szCs w:val="24"/>
        </w:rPr>
        <w:t xml:space="preserve"> appraising standard of care and reviewing new trends in management. </w:t>
      </w:r>
      <w:r w:rsidRPr="00B541D6">
        <w:rPr>
          <w:rFonts w:ascii="Times New Roman" w:hAnsi="Times New Roman" w:cs="Times New Roman"/>
          <w:i/>
          <w:iCs/>
          <w:sz w:val="24"/>
          <w:szCs w:val="24"/>
        </w:rPr>
        <w:t>American journal of clinical dermatology</w:t>
      </w:r>
      <w:r w:rsidRPr="00B541D6">
        <w:rPr>
          <w:rFonts w:ascii="Times New Roman" w:hAnsi="Times New Roman" w:cs="Times New Roman"/>
          <w:sz w:val="24"/>
          <w:szCs w:val="24"/>
        </w:rPr>
        <w:t>, </w:t>
      </w:r>
      <w:r w:rsidRPr="00B541D6">
        <w:rPr>
          <w:rFonts w:ascii="Times New Roman" w:hAnsi="Times New Roman" w:cs="Times New Roman"/>
          <w:i/>
          <w:iCs/>
          <w:sz w:val="24"/>
          <w:szCs w:val="24"/>
        </w:rPr>
        <w:t>21</w:t>
      </w:r>
      <w:r w:rsidRPr="00B541D6">
        <w:rPr>
          <w:rFonts w:ascii="Times New Roman" w:hAnsi="Times New Roman" w:cs="Times New Roman"/>
          <w:sz w:val="24"/>
          <w:szCs w:val="24"/>
        </w:rPr>
        <w:t>(2), 255-264.</w:t>
      </w:r>
    </w:p>
    <w:p w:rsidR="00176F6F" w:rsidRPr="004060B5" w:rsidRDefault="00176F6F" w:rsidP="00176F6F">
      <w:pPr>
        <w:spacing w:line="480" w:lineRule="auto"/>
        <w:ind w:left="720" w:hanging="720"/>
        <w:rPr>
          <w:rFonts w:ascii="Times New Roman" w:hAnsi="Times New Roman" w:cs="Times New Roman"/>
          <w:sz w:val="24"/>
          <w:szCs w:val="24"/>
        </w:rPr>
      </w:pPr>
      <w:r w:rsidRPr="00176F6F">
        <w:rPr>
          <w:rFonts w:ascii="Times New Roman" w:hAnsi="Times New Roman" w:cs="Times New Roman"/>
          <w:sz w:val="24"/>
          <w:szCs w:val="24"/>
        </w:rPr>
        <w:t>Galvani, A. P., Parpia, A. S., Foster, E. M., Singer, B. H., &amp; Fitzpatrick, M. C. (2020). Improving the prognosis of health care in the USA. </w:t>
      </w:r>
      <w:r w:rsidRPr="00176F6F">
        <w:rPr>
          <w:rFonts w:ascii="Times New Roman" w:hAnsi="Times New Roman" w:cs="Times New Roman"/>
          <w:i/>
          <w:iCs/>
          <w:sz w:val="24"/>
          <w:szCs w:val="24"/>
        </w:rPr>
        <w:t>The Lancet</w:t>
      </w:r>
      <w:r w:rsidRPr="00176F6F">
        <w:rPr>
          <w:rFonts w:ascii="Times New Roman" w:hAnsi="Times New Roman" w:cs="Times New Roman"/>
          <w:sz w:val="24"/>
          <w:szCs w:val="24"/>
        </w:rPr>
        <w:t>, </w:t>
      </w:r>
      <w:r w:rsidRPr="00176F6F">
        <w:rPr>
          <w:rFonts w:ascii="Times New Roman" w:hAnsi="Times New Roman" w:cs="Times New Roman"/>
          <w:i/>
          <w:iCs/>
          <w:sz w:val="24"/>
          <w:szCs w:val="24"/>
        </w:rPr>
        <w:t>395</w:t>
      </w:r>
      <w:r w:rsidRPr="00176F6F">
        <w:rPr>
          <w:rFonts w:ascii="Times New Roman" w:hAnsi="Times New Roman" w:cs="Times New Roman"/>
          <w:sz w:val="24"/>
          <w:szCs w:val="24"/>
        </w:rPr>
        <w:t>(10223), 524-533.</w:t>
      </w:r>
    </w:p>
    <w:p w:rsidR="00AD7373" w:rsidRPr="004060B5" w:rsidRDefault="00AD7373" w:rsidP="00176F6F">
      <w:pPr>
        <w:spacing w:line="480" w:lineRule="auto"/>
        <w:ind w:left="720" w:hanging="720"/>
        <w:rPr>
          <w:rFonts w:ascii="Times New Roman" w:hAnsi="Times New Roman" w:cs="Times New Roman"/>
          <w:sz w:val="24"/>
          <w:szCs w:val="24"/>
        </w:rPr>
      </w:pPr>
      <w:bookmarkStart w:id="0" w:name="_GoBack"/>
      <w:bookmarkEnd w:id="0"/>
    </w:p>
    <w:sectPr w:rsidR="00AD7373" w:rsidRPr="004060B5" w:rsidSect="00B541D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577" w:rsidRDefault="00556577" w:rsidP="00B541D6">
      <w:pPr>
        <w:spacing w:after="0" w:line="240" w:lineRule="auto"/>
      </w:pPr>
      <w:r>
        <w:separator/>
      </w:r>
    </w:p>
  </w:endnote>
  <w:endnote w:type="continuationSeparator" w:id="0">
    <w:p w:rsidR="00556577" w:rsidRDefault="00556577" w:rsidP="00B5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577" w:rsidRDefault="00556577" w:rsidP="00B541D6">
      <w:pPr>
        <w:spacing w:after="0" w:line="240" w:lineRule="auto"/>
      </w:pPr>
      <w:r>
        <w:separator/>
      </w:r>
    </w:p>
  </w:footnote>
  <w:footnote w:type="continuationSeparator" w:id="0">
    <w:p w:rsidR="00556577" w:rsidRDefault="00556577" w:rsidP="00B54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384412"/>
      <w:docPartObj>
        <w:docPartGallery w:val="Page Numbers (Top of Page)"/>
        <w:docPartUnique/>
      </w:docPartObj>
    </w:sdtPr>
    <w:sdtEndPr>
      <w:rPr>
        <w:noProof/>
      </w:rPr>
    </w:sdtEndPr>
    <w:sdtContent>
      <w:p w:rsidR="00B541D6" w:rsidRDefault="00B541D6">
        <w:pPr>
          <w:pStyle w:val="Header"/>
          <w:jc w:val="right"/>
        </w:pPr>
        <w:r w:rsidRPr="00B541D6">
          <w:rPr>
            <w:rFonts w:ascii="Times New Roman" w:hAnsi="Times New Roman" w:cs="Times New Roman"/>
            <w:sz w:val="24"/>
            <w:szCs w:val="24"/>
          </w:rPr>
          <w:t>HEALTH REFORMS.</w:t>
        </w:r>
        <w:r>
          <w:tab/>
        </w:r>
        <w:r>
          <w:tab/>
        </w:r>
        <w:r>
          <w:fldChar w:fldCharType="begin"/>
        </w:r>
        <w:r>
          <w:instrText xml:space="preserve"> PAGE   \* MERGEFORMAT </w:instrText>
        </w:r>
        <w:r>
          <w:fldChar w:fldCharType="separate"/>
        </w:r>
        <w:r w:rsidR="00176F6F">
          <w:rPr>
            <w:noProof/>
          </w:rPr>
          <w:t>7</w:t>
        </w:r>
        <w:r>
          <w:rPr>
            <w:noProof/>
          </w:rPr>
          <w:fldChar w:fldCharType="end"/>
        </w:r>
      </w:p>
    </w:sdtContent>
  </w:sdt>
  <w:p w:rsidR="00B541D6" w:rsidRDefault="00B541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501207"/>
      <w:docPartObj>
        <w:docPartGallery w:val="Page Numbers (Top of Page)"/>
        <w:docPartUnique/>
      </w:docPartObj>
    </w:sdtPr>
    <w:sdtEndPr>
      <w:rPr>
        <w:noProof/>
      </w:rPr>
    </w:sdtEndPr>
    <w:sdtContent>
      <w:p w:rsidR="00B541D6" w:rsidRDefault="00B541D6">
        <w:pPr>
          <w:pStyle w:val="Header"/>
          <w:jc w:val="right"/>
        </w:pPr>
        <w:r>
          <w:fldChar w:fldCharType="begin"/>
        </w:r>
        <w:r>
          <w:instrText xml:space="preserve"> PAGE   \* MERGEFORMAT </w:instrText>
        </w:r>
        <w:r>
          <w:fldChar w:fldCharType="separate"/>
        </w:r>
        <w:r w:rsidR="00556577">
          <w:rPr>
            <w:noProof/>
          </w:rPr>
          <w:t>1</w:t>
        </w:r>
        <w:r>
          <w:rPr>
            <w:noProof/>
          </w:rPr>
          <w:fldChar w:fldCharType="end"/>
        </w:r>
      </w:p>
    </w:sdtContent>
  </w:sdt>
  <w:p w:rsidR="00B541D6" w:rsidRDefault="00B541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212"/>
    <w:rsid w:val="00081FDD"/>
    <w:rsid w:val="00176F6F"/>
    <w:rsid w:val="001B3794"/>
    <w:rsid w:val="003C2212"/>
    <w:rsid w:val="004060B5"/>
    <w:rsid w:val="004E21CF"/>
    <w:rsid w:val="005354AB"/>
    <w:rsid w:val="00556577"/>
    <w:rsid w:val="008C13B5"/>
    <w:rsid w:val="009D4351"/>
    <w:rsid w:val="00AD7373"/>
    <w:rsid w:val="00B541D6"/>
    <w:rsid w:val="00CE177F"/>
    <w:rsid w:val="00CF16E0"/>
    <w:rsid w:val="00E13D38"/>
    <w:rsid w:val="00E410FC"/>
    <w:rsid w:val="00EB634F"/>
    <w:rsid w:val="00FF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27DD6-141D-4153-BDA4-65022CF7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1D6"/>
  </w:style>
  <w:style w:type="paragraph" w:styleId="Footer">
    <w:name w:val="footer"/>
    <w:basedOn w:val="Normal"/>
    <w:link w:val="FooterChar"/>
    <w:uiPriority w:val="99"/>
    <w:unhideWhenUsed/>
    <w:rsid w:val="00B54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2021-08-13T10:28:00Z</dcterms:created>
  <dcterms:modified xsi:type="dcterms:W3CDTF">2021-08-13T14:59:00Z</dcterms:modified>
</cp:coreProperties>
</file>