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41465C" w:rsidRDefault="0041465C"/>
    <w:p w:rsidR="0041465C" w:rsidRDefault="0041465C"/>
    <w:p w:rsidR="0041465C" w:rsidRDefault="0041465C"/>
    <w:p w:rsidR="002208F8" w:rsidRPr="00497E98" w:rsidRDefault="000017CE" w:rsidP="002208F8">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Promise Heights Community Survey</w:t>
      </w:r>
    </w:p>
    <w:p w:rsidR="002208F8" w:rsidRDefault="000017CE" w:rsidP="002208F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2208F8" w:rsidRDefault="000017CE" w:rsidP="002208F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Institutional Affiliation</w:t>
      </w:r>
    </w:p>
    <w:p w:rsidR="002208F8" w:rsidRDefault="000017CE" w:rsidP="002208F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2208F8" w:rsidRDefault="002208F8" w:rsidP="002208F8">
      <w:pPr>
        <w:jc w:val="center"/>
      </w:pPr>
    </w:p>
    <w:p w:rsidR="002208F8" w:rsidRDefault="002208F8" w:rsidP="002208F8">
      <w:pPr>
        <w:jc w:val="center"/>
      </w:pPr>
    </w:p>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Default="002208F8"/>
    <w:p w:rsidR="002208F8" w:rsidRPr="002208F8" w:rsidRDefault="000017CE" w:rsidP="002208F8">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Promise Heights Community Survey</w:t>
      </w:r>
    </w:p>
    <w:p w:rsidR="002208F8"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A windshield survey is a powerful tool that enhanced research on the </w:t>
      </w:r>
      <w:r w:rsidR="00867473">
        <w:rPr>
          <w:rFonts w:ascii="Times New Roman" w:hAnsi="Times New Roman" w:cs="Times New Roman"/>
          <w:color w:val="000000" w:themeColor="text1"/>
          <w:sz w:val="24"/>
          <w:szCs w:val="24"/>
        </w:rPr>
        <w:t>P</w:t>
      </w:r>
      <w:r w:rsidRPr="002208F8">
        <w:rPr>
          <w:rFonts w:ascii="Times New Roman" w:hAnsi="Times New Roman" w:cs="Times New Roman"/>
          <w:color w:val="000000" w:themeColor="text1"/>
          <w:sz w:val="24"/>
          <w:szCs w:val="24"/>
        </w:rPr>
        <w:t xml:space="preserve">romise </w:t>
      </w:r>
      <w:r w:rsidR="00867473">
        <w:rPr>
          <w:rFonts w:ascii="Times New Roman" w:hAnsi="Times New Roman" w:cs="Times New Roman"/>
          <w:color w:val="000000" w:themeColor="text1"/>
          <w:sz w:val="24"/>
          <w:szCs w:val="24"/>
        </w:rPr>
        <w:t>H</w:t>
      </w:r>
      <w:r w:rsidRPr="002208F8">
        <w:rPr>
          <w:rFonts w:ascii="Times New Roman" w:hAnsi="Times New Roman" w:cs="Times New Roman"/>
          <w:color w:val="000000" w:themeColor="text1"/>
          <w:sz w:val="24"/>
          <w:szCs w:val="24"/>
        </w:rPr>
        <w:t xml:space="preserve">eights community. Based on the data gathered, there are various strengths and risks in the neighborhood that was established. </w:t>
      </w:r>
      <w:r w:rsidR="00EA2657" w:rsidRPr="002208F8">
        <w:rPr>
          <w:rFonts w:ascii="Times New Roman" w:hAnsi="Times New Roman" w:cs="Times New Roman"/>
          <w:color w:val="000000" w:themeColor="text1"/>
          <w:sz w:val="24"/>
          <w:szCs w:val="24"/>
        </w:rPr>
        <w:t xml:space="preserve">One of the community's strengths is the presence of a strong vision that is based on enhancing the health of the community. Promise Heights' vision is the enhancement of a healthy living and learning environment for the community members. Education is among the best tools that a community can establish to enhance </w:t>
      </w:r>
      <w:r w:rsidR="006E618C" w:rsidRPr="002208F8">
        <w:rPr>
          <w:rFonts w:ascii="Times New Roman" w:hAnsi="Times New Roman" w:cs="Times New Roman"/>
          <w:color w:val="000000" w:themeColor="text1"/>
          <w:sz w:val="24"/>
          <w:szCs w:val="24"/>
        </w:rPr>
        <w:t>health</w:t>
      </w:r>
      <w:r w:rsidR="00EA2657" w:rsidRPr="002208F8">
        <w:rPr>
          <w:rFonts w:ascii="Times New Roman" w:hAnsi="Times New Roman" w:cs="Times New Roman"/>
          <w:color w:val="000000" w:themeColor="text1"/>
          <w:sz w:val="24"/>
          <w:szCs w:val="24"/>
        </w:rPr>
        <w:t xml:space="preserve"> promotion. This being the </w:t>
      </w:r>
      <w:r w:rsidR="006E618C" w:rsidRPr="002208F8">
        <w:rPr>
          <w:rFonts w:ascii="Times New Roman" w:hAnsi="Times New Roman" w:cs="Times New Roman"/>
          <w:color w:val="000000" w:themeColor="text1"/>
          <w:sz w:val="24"/>
          <w:szCs w:val="24"/>
        </w:rPr>
        <w:t xml:space="preserve">priority of the community, health </w:t>
      </w:r>
      <w:r w:rsidR="00163988" w:rsidRPr="002208F8">
        <w:rPr>
          <w:rFonts w:ascii="Times New Roman" w:hAnsi="Times New Roman" w:cs="Times New Roman"/>
          <w:color w:val="000000" w:themeColor="text1"/>
          <w:sz w:val="24"/>
          <w:szCs w:val="24"/>
        </w:rPr>
        <w:t>will be</w:t>
      </w:r>
      <w:r w:rsidR="006E618C" w:rsidRPr="002208F8">
        <w:rPr>
          <w:rFonts w:ascii="Times New Roman" w:hAnsi="Times New Roman" w:cs="Times New Roman"/>
          <w:color w:val="000000" w:themeColor="text1"/>
          <w:sz w:val="24"/>
          <w:szCs w:val="24"/>
        </w:rPr>
        <w:t xml:space="preserve"> easily enhanced. The community's involvement in acquiring knowledge concerning their health enhances the ability to maintain a healthy society. More so, the presence of strategic coordination in the community </w:t>
      </w:r>
      <w:r w:rsidR="00163988" w:rsidRPr="002208F8">
        <w:rPr>
          <w:rFonts w:ascii="Times New Roman" w:hAnsi="Times New Roman" w:cs="Times New Roman"/>
          <w:color w:val="000000" w:themeColor="text1"/>
          <w:sz w:val="24"/>
          <w:szCs w:val="24"/>
        </w:rPr>
        <w:t xml:space="preserve">will </w:t>
      </w:r>
      <w:r w:rsidR="006E618C" w:rsidRPr="002208F8">
        <w:rPr>
          <w:rFonts w:ascii="Times New Roman" w:hAnsi="Times New Roman" w:cs="Times New Roman"/>
          <w:color w:val="000000" w:themeColor="text1"/>
          <w:sz w:val="24"/>
          <w:szCs w:val="24"/>
        </w:rPr>
        <w:t>enhance the community's success in achieving a healthy population</w:t>
      </w:r>
      <w:r w:rsidR="00163988" w:rsidRPr="002208F8">
        <w:rPr>
          <w:rFonts w:ascii="Times New Roman" w:hAnsi="Times New Roman" w:cs="Times New Roman"/>
          <w:color w:val="000000" w:themeColor="text1"/>
          <w:sz w:val="24"/>
          <w:szCs w:val="24"/>
        </w:rPr>
        <w:t xml:space="preserve"> (</w:t>
      </w:r>
      <w:r w:rsidR="00163988" w:rsidRPr="002208F8">
        <w:rPr>
          <w:rFonts w:ascii="Times New Roman" w:hAnsi="Times New Roman" w:cs="Times New Roman"/>
          <w:color w:val="000000" w:themeColor="text1"/>
          <w:sz w:val="24"/>
          <w:szCs w:val="24"/>
          <w:shd w:val="clear" w:color="auto" w:fill="FFFFFF"/>
        </w:rPr>
        <w:t>Promise Heights Narrative, 2018)</w:t>
      </w:r>
      <w:r w:rsidR="006E618C" w:rsidRPr="002208F8">
        <w:rPr>
          <w:rFonts w:ascii="Times New Roman" w:hAnsi="Times New Roman" w:cs="Times New Roman"/>
          <w:color w:val="000000" w:themeColor="text1"/>
          <w:sz w:val="24"/>
          <w:szCs w:val="24"/>
        </w:rPr>
        <w:t xml:space="preserve">. The community has established a coalition amid the grass roots organizations and service providers, enhancing the success in achieving clear houses, occupational outcomes for families and children, and education. </w:t>
      </w:r>
    </w:p>
    <w:p w:rsidR="0039795C" w:rsidRPr="002208F8"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Family engagement has also enhanced the health care system's ability to invest in families and their children. </w:t>
      </w:r>
      <w:r w:rsidR="00145C77" w:rsidRPr="002208F8">
        <w:rPr>
          <w:rFonts w:ascii="Times New Roman" w:hAnsi="Times New Roman" w:cs="Times New Roman"/>
          <w:color w:val="000000" w:themeColor="text1"/>
          <w:sz w:val="24"/>
          <w:szCs w:val="24"/>
        </w:rPr>
        <w:t xml:space="preserve">However, the current reality of the community provides various risks that are associated with the community. </w:t>
      </w:r>
      <w:r w:rsidR="00B168C7" w:rsidRPr="002208F8">
        <w:rPr>
          <w:rFonts w:ascii="Times New Roman" w:hAnsi="Times New Roman" w:cs="Times New Roman"/>
          <w:color w:val="000000" w:themeColor="text1"/>
          <w:sz w:val="24"/>
          <w:szCs w:val="24"/>
        </w:rPr>
        <w:t xml:space="preserve">One of the risks that are present is the increased level of poverty. More than 61% of children are in families affected by poverty, which means that access to resources that enhance access to health care and education is limited. Access to health care in the community is poor, which exposes people to risks of developing illnesses. The increased rates of teenage pregnancy </w:t>
      </w:r>
      <w:r w:rsidR="00D97266" w:rsidRPr="002208F8">
        <w:rPr>
          <w:rFonts w:ascii="Times New Roman" w:hAnsi="Times New Roman" w:cs="Times New Roman"/>
          <w:color w:val="000000" w:themeColor="text1"/>
          <w:sz w:val="24"/>
          <w:szCs w:val="24"/>
        </w:rPr>
        <w:t>are</w:t>
      </w:r>
      <w:r w:rsidR="00B168C7" w:rsidRPr="002208F8">
        <w:rPr>
          <w:rFonts w:ascii="Times New Roman" w:hAnsi="Times New Roman" w:cs="Times New Roman"/>
          <w:color w:val="000000" w:themeColor="text1"/>
          <w:sz w:val="24"/>
          <w:szCs w:val="24"/>
        </w:rPr>
        <w:t xml:space="preserve"> another risk that affects education and health in the community. </w:t>
      </w:r>
    </w:p>
    <w:p w:rsidR="002208F8" w:rsidRPr="00676C65" w:rsidRDefault="000017CE" w:rsidP="002208F8">
      <w:pPr>
        <w:spacing w:after="0" w:line="480" w:lineRule="auto"/>
        <w:ind w:firstLine="851"/>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t xml:space="preserve">Social determinants affect health disparities in Promise Heights. The presence of economic challenges is among the factor that influences the access to health care services in the community as most children live in families that are affected by </w:t>
      </w:r>
      <w:r w:rsidR="00ED4EA9" w:rsidRPr="002208F8">
        <w:rPr>
          <w:rFonts w:ascii="Times New Roman" w:hAnsi="Times New Roman" w:cs="Times New Roman"/>
          <w:color w:val="000000" w:themeColor="text1"/>
          <w:sz w:val="24"/>
          <w:szCs w:val="24"/>
        </w:rPr>
        <w:t xml:space="preserve">poverty, which affects </w:t>
      </w:r>
      <w:r w:rsidR="00ED4EA9" w:rsidRPr="002208F8">
        <w:rPr>
          <w:rFonts w:ascii="Times New Roman" w:hAnsi="Times New Roman" w:cs="Times New Roman"/>
          <w:color w:val="000000" w:themeColor="text1"/>
          <w:sz w:val="24"/>
          <w:szCs w:val="24"/>
        </w:rPr>
        <w:lastRenderedPageBreak/>
        <w:t>their access to education and health services. Education is a factor that affects people's knowledge and attitude towards health influences poor health status in the community. Racial disparities enhance the presence of economic diversities. For example, more than 50% of African Americans have an income of less than $14,999, which influences their ability to access health care services and education to enhance equal access to other ethnic groups</w:t>
      </w:r>
      <w:r w:rsidR="00163988" w:rsidRPr="002208F8">
        <w:rPr>
          <w:rFonts w:ascii="Times New Roman" w:hAnsi="Times New Roman" w:cs="Times New Roman"/>
          <w:color w:val="000000" w:themeColor="text1"/>
          <w:sz w:val="24"/>
          <w:szCs w:val="24"/>
        </w:rPr>
        <w:t xml:space="preserve"> (</w:t>
      </w:r>
      <w:r w:rsidR="00163988" w:rsidRPr="002208F8">
        <w:rPr>
          <w:rFonts w:ascii="Times New Roman" w:hAnsi="Times New Roman" w:cs="Times New Roman"/>
          <w:color w:val="000000" w:themeColor="text1"/>
          <w:sz w:val="24"/>
          <w:szCs w:val="24"/>
          <w:shd w:val="clear" w:color="auto" w:fill="FFFFFF"/>
        </w:rPr>
        <w:t>Promise Heig</w:t>
      </w:r>
      <w:r w:rsidR="00163988" w:rsidRPr="00676C65">
        <w:rPr>
          <w:rFonts w:ascii="Times New Roman" w:hAnsi="Times New Roman" w:cs="Times New Roman"/>
          <w:color w:val="000000" w:themeColor="text1"/>
          <w:sz w:val="24"/>
          <w:szCs w:val="24"/>
          <w:shd w:val="clear" w:color="auto" w:fill="FFFFFF"/>
        </w:rPr>
        <w:t>hts Narrative, 2018)</w:t>
      </w:r>
      <w:r w:rsidR="00ED4EA9" w:rsidRPr="00676C65">
        <w:rPr>
          <w:rFonts w:ascii="Times New Roman" w:hAnsi="Times New Roman" w:cs="Times New Roman"/>
          <w:color w:val="000000" w:themeColor="text1"/>
          <w:sz w:val="24"/>
          <w:szCs w:val="24"/>
        </w:rPr>
        <w:t xml:space="preserve">. There are various objectives from Healthy People 2030 which are consistent with the challenges of the Promise Heights community. </w:t>
      </w:r>
      <w:r w:rsidR="007B0891" w:rsidRPr="00676C65">
        <w:rPr>
          <w:rFonts w:ascii="Times New Roman" w:hAnsi="Times New Roman" w:cs="Times New Roman"/>
          <w:color w:val="000000" w:themeColor="text1"/>
          <w:sz w:val="24"/>
          <w:szCs w:val="24"/>
        </w:rPr>
        <w:t>One of the objectives is to establish healthy, thriving lives free of preventable diseases, injuries, disability, and premature mortality</w:t>
      </w:r>
      <w:r w:rsidR="00155D02" w:rsidRPr="00676C65">
        <w:rPr>
          <w:rFonts w:ascii="Times New Roman" w:hAnsi="Times New Roman" w:cs="Times New Roman"/>
          <w:color w:val="000000" w:themeColor="text1"/>
          <w:sz w:val="24"/>
          <w:szCs w:val="24"/>
        </w:rPr>
        <w:t xml:space="preserve"> (</w:t>
      </w:r>
      <w:r w:rsidR="00155D02" w:rsidRPr="00676C65">
        <w:rPr>
          <w:rFonts w:ascii="Times New Roman" w:hAnsi="Times New Roman" w:cs="Times New Roman"/>
          <w:color w:val="000000" w:themeColor="text1"/>
          <w:sz w:val="24"/>
          <w:szCs w:val="24"/>
          <w:shd w:val="clear" w:color="auto" w:fill="FFFFFF"/>
        </w:rPr>
        <w:t>Mulder-Kigenyi, 2020)</w:t>
      </w:r>
      <w:r w:rsidR="007B0891" w:rsidRPr="00676C65">
        <w:rPr>
          <w:rFonts w:ascii="Times New Roman" w:hAnsi="Times New Roman" w:cs="Times New Roman"/>
          <w:color w:val="000000" w:themeColor="text1"/>
          <w:sz w:val="24"/>
          <w:szCs w:val="24"/>
        </w:rPr>
        <w:t xml:space="preserve">. This goal is facing challenges in the community since there are factors that enhance the goal's poor achievement. The presence of increased poverty rate among people influences the presence of poor access to health care services that is a significant step in establishing a healthy society. Therefore, this is an objective that is still facing challenges. The life expectancy of the society is 62.9 years, which compared to other communities such as Baltimore, which have 71.8 </w:t>
      </w:r>
      <w:r w:rsidR="00F37346" w:rsidRPr="00676C65">
        <w:rPr>
          <w:rFonts w:ascii="Times New Roman" w:hAnsi="Times New Roman" w:cs="Times New Roman"/>
          <w:color w:val="000000" w:themeColor="text1"/>
          <w:sz w:val="24"/>
          <w:szCs w:val="24"/>
        </w:rPr>
        <w:t>years;</w:t>
      </w:r>
      <w:r w:rsidR="007B0891" w:rsidRPr="00676C65">
        <w:rPr>
          <w:rFonts w:ascii="Times New Roman" w:hAnsi="Times New Roman" w:cs="Times New Roman"/>
          <w:color w:val="000000" w:themeColor="text1"/>
          <w:sz w:val="24"/>
          <w:szCs w:val="24"/>
        </w:rPr>
        <w:t xml:space="preserve"> there is still a lot of work that needs to be done to enhance the achievement of this goal. The city residents have high incidences of chronic ailments such as diabetes, which is 7.7 in every 10,000 residents.</w:t>
      </w:r>
    </w:p>
    <w:p w:rsidR="00D97266" w:rsidRPr="002208F8" w:rsidRDefault="000017CE" w:rsidP="002208F8">
      <w:pPr>
        <w:spacing w:after="0" w:line="480" w:lineRule="auto"/>
        <w:ind w:firstLine="851"/>
        <w:rPr>
          <w:rFonts w:ascii="Times New Roman" w:hAnsi="Times New Roman" w:cs="Times New Roman"/>
          <w:color w:val="000000" w:themeColor="text1"/>
          <w:sz w:val="24"/>
          <w:szCs w:val="24"/>
        </w:rPr>
      </w:pPr>
      <w:r w:rsidRPr="00676C65">
        <w:rPr>
          <w:rFonts w:ascii="Times New Roman" w:hAnsi="Times New Roman" w:cs="Times New Roman"/>
          <w:color w:val="000000" w:themeColor="text1"/>
          <w:sz w:val="24"/>
          <w:szCs w:val="24"/>
        </w:rPr>
        <w:t xml:space="preserve"> Another goal that is challenging to achieve is eliminating health disparities and achieving equity and literacy in health matters</w:t>
      </w:r>
      <w:r w:rsidR="00CD7599" w:rsidRPr="00676C65">
        <w:rPr>
          <w:rFonts w:ascii="Times New Roman" w:hAnsi="Times New Roman" w:cs="Times New Roman"/>
          <w:color w:val="000000" w:themeColor="text1"/>
          <w:sz w:val="24"/>
          <w:szCs w:val="24"/>
        </w:rPr>
        <w:t xml:space="preserve"> (</w:t>
      </w:r>
      <w:r w:rsidR="00CD7599" w:rsidRPr="00676C65">
        <w:rPr>
          <w:rFonts w:ascii="Times New Roman" w:hAnsi="Times New Roman" w:cs="Times New Roman"/>
          <w:color w:val="000000" w:themeColor="text1"/>
          <w:sz w:val="24"/>
          <w:szCs w:val="24"/>
          <w:shd w:val="clear" w:color="auto" w:fill="FFFFFF"/>
        </w:rPr>
        <w:t>Healthy People 2030 Framework, 2020)</w:t>
      </w:r>
      <w:r w:rsidRPr="00676C65">
        <w:rPr>
          <w:rFonts w:ascii="Times New Roman" w:hAnsi="Times New Roman" w:cs="Times New Roman"/>
          <w:color w:val="000000" w:themeColor="text1"/>
          <w:sz w:val="24"/>
          <w:szCs w:val="24"/>
        </w:rPr>
        <w:t>. Since most of the population are people in the lower economic class, equality is a challenge that affects equal access to education and health care. Also, promoting healthy behavior and well-being among people in all stages of life</w:t>
      </w:r>
      <w:r w:rsidR="00CA6EBC" w:rsidRPr="00676C65">
        <w:rPr>
          <w:rFonts w:ascii="Times New Roman" w:hAnsi="Times New Roman" w:cs="Times New Roman"/>
          <w:color w:val="000000" w:themeColor="text1"/>
          <w:sz w:val="24"/>
          <w:szCs w:val="24"/>
        </w:rPr>
        <w:t xml:space="preserve"> is an objective from the healthy people 2030 that is facing challenges in the community</w:t>
      </w:r>
      <w:r w:rsidRPr="00676C65">
        <w:rPr>
          <w:rFonts w:ascii="Times New Roman" w:hAnsi="Times New Roman" w:cs="Times New Roman"/>
          <w:color w:val="000000" w:themeColor="text1"/>
          <w:sz w:val="24"/>
          <w:szCs w:val="24"/>
        </w:rPr>
        <w:t xml:space="preserve">. One of the main issues presented is the increased teen pregnancy cases, which need to be addressed. This means that the health care system needs to create a system that will enhance teen pregnancy prevention by improving healthy sexual </w:t>
      </w:r>
      <w:r w:rsidRPr="00676C65">
        <w:rPr>
          <w:rFonts w:ascii="Times New Roman" w:hAnsi="Times New Roman" w:cs="Times New Roman"/>
          <w:color w:val="000000" w:themeColor="text1"/>
          <w:sz w:val="24"/>
          <w:szCs w:val="24"/>
        </w:rPr>
        <w:lastRenderedPageBreak/>
        <w:t>behaviors.</w:t>
      </w:r>
      <w:r w:rsidRPr="002208F8">
        <w:rPr>
          <w:rFonts w:ascii="Times New Roman" w:hAnsi="Times New Roman" w:cs="Times New Roman"/>
          <w:color w:val="000000" w:themeColor="text1"/>
          <w:sz w:val="24"/>
          <w:szCs w:val="24"/>
        </w:rPr>
        <w:t xml:space="preserve"> One of the public health interventions needed in P</w:t>
      </w:r>
      <w:r w:rsidR="00163988" w:rsidRPr="002208F8">
        <w:rPr>
          <w:rFonts w:ascii="Times New Roman" w:hAnsi="Times New Roman" w:cs="Times New Roman"/>
          <w:color w:val="000000" w:themeColor="text1"/>
          <w:sz w:val="24"/>
          <w:szCs w:val="24"/>
        </w:rPr>
        <w:t>romise Heights is health teaching to enhance the knowledge of the society in matters concerning health care</w:t>
      </w:r>
      <w:r w:rsidR="00211F03" w:rsidRPr="002208F8">
        <w:rPr>
          <w:rFonts w:ascii="Times New Roman" w:hAnsi="Times New Roman" w:cs="Times New Roman"/>
          <w:color w:val="000000" w:themeColor="text1"/>
          <w:sz w:val="24"/>
          <w:szCs w:val="24"/>
        </w:rPr>
        <w:t xml:space="preserve"> (</w:t>
      </w:r>
      <w:r w:rsidR="00211F03" w:rsidRPr="002208F8">
        <w:rPr>
          <w:rFonts w:ascii="Times New Roman" w:hAnsi="Times New Roman" w:cs="Times New Roman"/>
          <w:color w:val="000000" w:themeColor="text1"/>
          <w:sz w:val="24"/>
          <w:szCs w:val="24"/>
          <w:shd w:val="clear" w:color="auto" w:fill="FFFFFF"/>
        </w:rPr>
        <w:t>Leahy‐Warren et al., 2018)</w:t>
      </w:r>
      <w:r w:rsidR="00163988" w:rsidRPr="002208F8">
        <w:rPr>
          <w:rFonts w:ascii="Times New Roman" w:hAnsi="Times New Roman" w:cs="Times New Roman"/>
          <w:color w:val="000000" w:themeColor="text1"/>
          <w:sz w:val="24"/>
          <w:szCs w:val="24"/>
        </w:rPr>
        <w:t xml:space="preserve">. Since most individuals are not well-educated concerning health care and its dynamics, there is a need to change people's behavior and attitudes towards health care. More so, advocacy is a significant element. The community needs to have advocated to help them access health care and education even for free as their social influences, such as poverty, are among the challenges that affect their ability to access education and health care services. Therefore, the social factors in the community need to be addressed to enhance a healthy community. </w:t>
      </w: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2208F8" w:rsidRDefault="002208F8" w:rsidP="002208F8">
      <w:pPr>
        <w:spacing w:after="0" w:line="480" w:lineRule="auto"/>
        <w:ind w:firstLine="851"/>
        <w:rPr>
          <w:rFonts w:ascii="Times New Roman" w:hAnsi="Times New Roman" w:cs="Times New Roman"/>
          <w:b/>
          <w:bCs/>
          <w:color w:val="000000" w:themeColor="text1"/>
          <w:sz w:val="24"/>
          <w:szCs w:val="24"/>
        </w:rPr>
      </w:pPr>
    </w:p>
    <w:p w:rsidR="00F552DD" w:rsidRDefault="00F552DD" w:rsidP="00C532E0">
      <w:pPr>
        <w:spacing w:after="0" w:line="480" w:lineRule="auto"/>
        <w:rPr>
          <w:rFonts w:ascii="Times New Roman" w:hAnsi="Times New Roman" w:cs="Times New Roman"/>
          <w:b/>
          <w:bCs/>
          <w:color w:val="000000" w:themeColor="text1"/>
          <w:sz w:val="24"/>
          <w:szCs w:val="24"/>
        </w:rPr>
      </w:pPr>
    </w:p>
    <w:p w:rsidR="00C532E0" w:rsidRDefault="00C532E0" w:rsidP="00C532E0">
      <w:pPr>
        <w:spacing w:after="0" w:line="480" w:lineRule="auto"/>
        <w:rPr>
          <w:rFonts w:ascii="Times New Roman" w:hAnsi="Times New Roman" w:cs="Times New Roman"/>
          <w:b/>
          <w:bCs/>
          <w:color w:val="000000" w:themeColor="text1"/>
          <w:sz w:val="24"/>
          <w:szCs w:val="24"/>
        </w:rPr>
      </w:pPr>
    </w:p>
    <w:p w:rsidR="00C532E0" w:rsidRDefault="00C532E0" w:rsidP="00C532E0">
      <w:pPr>
        <w:spacing w:after="0" w:line="480" w:lineRule="auto"/>
        <w:rPr>
          <w:rFonts w:ascii="Times New Roman" w:hAnsi="Times New Roman" w:cs="Times New Roman"/>
          <w:b/>
          <w:bCs/>
          <w:color w:val="000000" w:themeColor="text1"/>
          <w:sz w:val="24"/>
          <w:szCs w:val="24"/>
        </w:rPr>
      </w:pPr>
    </w:p>
    <w:p w:rsidR="002208F8" w:rsidRPr="002208F8" w:rsidRDefault="000017CE" w:rsidP="002208F8">
      <w:pPr>
        <w:spacing w:after="0" w:line="480" w:lineRule="auto"/>
        <w:ind w:firstLine="851"/>
        <w:jc w:val="center"/>
        <w:rPr>
          <w:rFonts w:ascii="Times New Roman" w:hAnsi="Times New Roman" w:cs="Times New Roman"/>
          <w:b/>
          <w:bCs/>
          <w:color w:val="000000" w:themeColor="text1"/>
          <w:sz w:val="24"/>
          <w:szCs w:val="24"/>
        </w:rPr>
      </w:pPr>
      <w:r w:rsidRPr="002208F8">
        <w:rPr>
          <w:rFonts w:ascii="Times New Roman" w:hAnsi="Times New Roman" w:cs="Times New Roman"/>
          <w:b/>
          <w:bCs/>
          <w:color w:val="000000" w:themeColor="text1"/>
          <w:sz w:val="24"/>
          <w:szCs w:val="24"/>
        </w:rPr>
        <w:lastRenderedPageBreak/>
        <w:t>References</w:t>
      </w:r>
    </w:p>
    <w:p w:rsidR="00CD7599" w:rsidRPr="002208F8" w:rsidRDefault="00CD7599" w:rsidP="002208F8">
      <w:pPr>
        <w:spacing w:after="0" w:line="480" w:lineRule="auto"/>
        <w:ind w:left="851" w:hanging="851"/>
        <w:rPr>
          <w:rFonts w:ascii="Times New Roman" w:hAnsi="Times New Roman" w:cs="Times New Roman"/>
          <w:color w:val="000000" w:themeColor="text1"/>
          <w:sz w:val="24"/>
          <w:szCs w:val="24"/>
          <w:shd w:val="clear" w:color="auto" w:fill="FFFFFF"/>
        </w:rPr>
      </w:pPr>
      <w:r w:rsidRPr="00CD7599">
        <w:rPr>
          <w:rFonts w:ascii="Times New Roman" w:hAnsi="Times New Roman" w:cs="Times New Roman"/>
          <w:i/>
          <w:iCs/>
          <w:color w:val="000000" w:themeColor="text1"/>
          <w:sz w:val="24"/>
          <w:szCs w:val="24"/>
          <w:shd w:val="clear" w:color="auto" w:fill="FFFFFF"/>
        </w:rPr>
        <w:t>Healthy People 2030 Framework | Healthy People 20</w:t>
      </w:r>
      <w:r>
        <w:rPr>
          <w:rFonts w:ascii="Times New Roman" w:hAnsi="Times New Roman" w:cs="Times New Roman"/>
          <w:i/>
          <w:iCs/>
          <w:color w:val="000000" w:themeColor="text1"/>
          <w:sz w:val="24"/>
          <w:szCs w:val="24"/>
          <w:shd w:val="clear" w:color="auto" w:fill="FFFFFF"/>
        </w:rPr>
        <w:t>30</w:t>
      </w:r>
      <w:r w:rsidRPr="00CD7599">
        <w:rPr>
          <w:rFonts w:ascii="Times New Roman" w:hAnsi="Times New Roman" w:cs="Times New Roman"/>
          <w:color w:val="000000" w:themeColor="text1"/>
          <w:sz w:val="24"/>
          <w:szCs w:val="24"/>
          <w:shd w:val="clear" w:color="auto" w:fill="FFFFFF"/>
        </w:rPr>
        <w:t>. Healthypeople.gov. (2020). Retrieved 4 February 2021, from https://www.healthypeople.gov/2020/About-Healthy-People/Development-Healthy-People-2030/Framework</w:t>
      </w:r>
      <w:r>
        <w:rPr>
          <w:rFonts w:ascii="Arial" w:hAnsi="Arial" w:cs="Arial"/>
          <w:color w:val="000000"/>
          <w:sz w:val="20"/>
          <w:szCs w:val="20"/>
          <w:shd w:val="clear" w:color="auto" w:fill="FFFFFF"/>
        </w:rPr>
        <w:t>.</w:t>
      </w:r>
    </w:p>
    <w:p w:rsidR="00CD7599" w:rsidRPr="00CD7599" w:rsidRDefault="00CD7599" w:rsidP="002208F8">
      <w:pPr>
        <w:spacing w:after="0" w:line="480" w:lineRule="auto"/>
        <w:ind w:left="851" w:hanging="851"/>
        <w:rPr>
          <w:rFonts w:ascii="Times New Roman" w:hAnsi="Times New Roman" w:cs="Times New Roman"/>
          <w:color w:val="000000" w:themeColor="text1"/>
          <w:sz w:val="24"/>
          <w:szCs w:val="24"/>
          <w:shd w:val="clear" w:color="auto" w:fill="FFFFFF"/>
        </w:rPr>
      </w:pPr>
      <w:r w:rsidRPr="00CD7599">
        <w:rPr>
          <w:rFonts w:ascii="Times New Roman" w:hAnsi="Times New Roman" w:cs="Times New Roman"/>
          <w:color w:val="000000" w:themeColor="text1"/>
          <w:sz w:val="24"/>
          <w:szCs w:val="24"/>
          <w:shd w:val="clear" w:color="auto" w:fill="FFFFFF"/>
        </w:rPr>
        <w:t>Leahy‐Warren, P., Day, M. R., Philpott, L., Glavin, K., Gjevjon, E. R., Steffenak, A. K. M., ... &amp; Mulcahy, H. (2018). A falls case summary: Application of the public health nursing intervention wheel. </w:t>
      </w:r>
      <w:r w:rsidRPr="00CD7599">
        <w:rPr>
          <w:rFonts w:ascii="Times New Roman" w:hAnsi="Times New Roman" w:cs="Times New Roman"/>
          <w:i/>
          <w:iCs/>
          <w:color w:val="000000" w:themeColor="text1"/>
          <w:sz w:val="24"/>
          <w:szCs w:val="24"/>
          <w:shd w:val="clear" w:color="auto" w:fill="FFFFFF"/>
        </w:rPr>
        <w:t>Public health nursing</w:t>
      </w:r>
      <w:r w:rsidRPr="00CD7599">
        <w:rPr>
          <w:rFonts w:ascii="Times New Roman" w:hAnsi="Times New Roman" w:cs="Times New Roman"/>
          <w:color w:val="000000" w:themeColor="text1"/>
          <w:sz w:val="24"/>
          <w:szCs w:val="24"/>
          <w:shd w:val="clear" w:color="auto" w:fill="FFFFFF"/>
        </w:rPr>
        <w:t>, </w:t>
      </w:r>
      <w:r w:rsidRPr="00CD7599">
        <w:rPr>
          <w:rFonts w:ascii="Times New Roman" w:hAnsi="Times New Roman" w:cs="Times New Roman"/>
          <w:i/>
          <w:iCs/>
          <w:color w:val="000000" w:themeColor="text1"/>
          <w:sz w:val="24"/>
          <w:szCs w:val="24"/>
          <w:shd w:val="clear" w:color="auto" w:fill="FFFFFF"/>
        </w:rPr>
        <w:t>35</w:t>
      </w:r>
      <w:r w:rsidRPr="00CD7599">
        <w:rPr>
          <w:rFonts w:ascii="Times New Roman" w:hAnsi="Times New Roman" w:cs="Times New Roman"/>
          <w:color w:val="000000" w:themeColor="text1"/>
          <w:sz w:val="24"/>
          <w:szCs w:val="24"/>
          <w:shd w:val="clear" w:color="auto" w:fill="FFFFFF"/>
        </w:rPr>
        <w:t>(4), 307-316.</w:t>
      </w:r>
    </w:p>
    <w:p w:rsidR="00CD7599" w:rsidRPr="00CD7599" w:rsidRDefault="00CD7599" w:rsidP="002208F8">
      <w:pPr>
        <w:spacing w:after="0" w:line="480" w:lineRule="auto"/>
        <w:ind w:left="851" w:hanging="851"/>
        <w:rPr>
          <w:rFonts w:ascii="Times New Roman" w:hAnsi="Times New Roman" w:cs="Times New Roman"/>
          <w:b/>
          <w:bCs/>
          <w:color w:val="000000" w:themeColor="text1"/>
          <w:sz w:val="24"/>
          <w:szCs w:val="24"/>
        </w:rPr>
      </w:pPr>
      <w:r w:rsidRPr="00CD7599">
        <w:rPr>
          <w:rFonts w:ascii="Times New Roman" w:hAnsi="Times New Roman" w:cs="Times New Roman"/>
          <w:color w:val="000000" w:themeColor="text1"/>
          <w:sz w:val="24"/>
          <w:szCs w:val="24"/>
          <w:shd w:val="clear" w:color="auto" w:fill="FFFFFF"/>
        </w:rPr>
        <w:t>Mulder-Kigenyi, T. (2020). Transitioning to a New Decade: Assessing Healthy People 2020 and Launching Healthy People 2030. In </w:t>
      </w:r>
      <w:r w:rsidRPr="00CD7599">
        <w:rPr>
          <w:rFonts w:ascii="Times New Roman" w:hAnsi="Times New Roman" w:cs="Times New Roman"/>
          <w:i/>
          <w:iCs/>
          <w:color w:val="000000" w:themeColor="text1"/>
          <w:sz w:val="24"/>
          <w:szCs w:val="24"/>
          <w:shd w:val="clear" w:color="auto" w:fill="FFFFFF"/>
        </w:rPr>
        <w:t>APHA's 2020 VIRTUAL Annual Meeting and Expo (Oct. 24-28)</w:t>
      </w:r>
      <w:r w:rsidRPr="00CD7599">
        <w:rPr>
          <w:rFonts w:ascii="Times New Roman" w:hAnsi="Times New Roman" w:cs="Times New Roman"/>
          <w:color w:val="000000" w:themeColor="text1"/>
          <w:sz w:val="24"/>
          <w:szCs w:val="24"/>
          <w:shd w:val="clear" w:color="auto" w:fill="FFFFFF"/>
        </w:rPr>
        <w:t>. American Public Health Association.</w:t>
      </w:r>
    </w:p>
    <w:p w:rsidR="00CD7599" w:rsidRPr="00CD7599" w:rsidRDefault="00CD7599" w:rsidP="002208F8">
      <w:pPr>
        <w:spacing w:after="0" w:line="480" w:lineRule="auto"/>
        <w:ind w:left="851" w:hanging="851"/>
        <w:rPr>
          <w:rFonts w:ascii="Times New Roman" w:hAnsi="Times New Roman" w:cs="Times New Roman"/>
          <w:color w:val="000000" w:themeColor="text1"/>
          <w:sz w:val="24"/>
          <w:szCs w:val="24"/>
          <w:shd w:val="clear" w:color="auto" w:fill="FFFFFF"/>
        </w:rPr>
      </w:pPr>
      <w:r w:rsidRPr="00CD7599">
        <w:rPr>
          <w:rFonts w:ascii="Times New Roman" w:hAnsi="Times New Roman" w:cs="Times New Roman"/>
          <w:i/>
          <w:iCs/>
          <w:color w:val="000000" w:themeColor="text1"/>
          <w:sz w:val="24"/>
          <w:szCs w:val="24"/>
          <w:shd w:val="clear" w:color="auto" w:fill="FFFFFF"/>
        </w:rPr>
        <w:t>Promise Heights Narrative</w:t>
      </w:r>
      <w:r w:rsidRPr="00CD7599">
        <w:rPr>
          <w:rFonts w:ascii="Times New Roman" w:hAnsi="Times New Roman" w:cs="Times New Roman"/>
          <w:color w:val="000000" w:themeColor="text1"/>
          <w:sz w:val="24"/>
          <w:szCs w:val="24"/>
          <w:shd w:val="clear" w:color="auto" w:fill="FFFFFF"/>
        </w:rPr>
        <w:t xml:space="preserve">. Www2.ed.gov. (2018). Retrieved 3 February 2021, from </w:t>
      </w:r>
      <w:hyperlink r:id="rId6" w:history="1">
        <w:r w:rsidRPr="00CD7599">
          <w:rPr>
            <w:rStyle w:val="Hyperlink"/>
            <w:rFonts w:ascii="Times New Roman" w:hAnsi="Times New Roman" w:cs="Times New Roman"/>
            <w:color w:val="000000" w:themeColor="text1"/>
            <w:sz w:val="24"/>
            <w:szCs w:val="24"/>
            <w:u w:val="none"/>
            <w:shd w:val="clear" w:color="auto" w:fill="FFFFFF"/>
          </w:rPr>
          <w:t>https://www2.ed.gov/programs/promiseneighborhoods/2018/appumd.pdf</w:t>
        </w:r>
      </w:hyperlink>
      <w:r w:rsidRPr="00CD7599">
        <w:rPr>
          <w:rFonts w:ascii="Times New Roman" w:hAnsi="Times New Roman" w:cs="Times New Roman"/>
          <w:color w:val="000000" w:themeColor="text1"/>
          <w:sz w:val="24"/>
          <w:szCs w:val="24"/>
          <w:shd w:val="clear" w:color="auto" w:fill="FFFFFF"/>
        </w:rPr>
        <w:t>.</w:t>
      </w:r>
    </w:p>
    <w:sectPr w:rsidR="00CD7599" w:rsidRPr="00CD7599" w:rsidSect="00BC6C50">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7CA" w:rsidRDefault="00D517CA">
      <w:pPr>
        <w:spacing w:after="0" w:line="240" w:lineRule="auto"/>
      </w:pPr>
      <w:r>
        <w:separator/>
      </w:r>
    </w:p>
  </w:endnote>
  <w:endnote w:type="continuationSeparator" w:id="1">
    <w:p w:rsidR="00D517CA" w:rsidRDefault="00D517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7CA" w:rsidRDefault="00D517CA">
      <w:pPr>
        <w:spacing w:after="0" w:line="240" w:lineRule="auto"/>
      </w:pPr>
      <w:r>
        <w:separator/>
      </w:r>
    </w:p>
  </w:footnote>
  <w:footnote w:type="continuationSeparator" w:id="1">
    <w:p w:rsidR="00D517CA" w:rsidRDefault="00D517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375098"/>
      <w:docPartObj>
        <w:docPartGallery w:val="Page Numbers (Top of Page)"/>
        <w:docPartUnique/>
      </w:docPartObj>
    </w:sdtPr>
    <w:sdtEndPr>
      <w:rPr>
        <w:rFonts w:ascii="Times New Roman" w:hAnsi="Times New Roman" w:cs="Times New Roman"/>
        <w:noProof/>
        <w:color w:val="000000" w:themeColor="text1"/>
        <w:sz w:val="24"/>
        <w:szCs w:val="24"/>
      </w:rPr>
    </w:sdtEndPr>
    <w:sdtContent>
      <w:p w:rsidR="002208F8" w:rsidRPr="002208F8" w:rsidRDefault="000B04A8">
        <w:pPr>
          <w:pStyle w:val="Header"/>
          <w:jc w:val="right"/>
          <w:rPr>
            <w:rFonts w:ascii="Times New Roman" w:hAnsi="Times New Roman" w:cs="Times New Roman"/>
            <w:color w:val="000000" w:themeColor="text1"/>
            <w:sz w:val="24"/>
            <w:szCs w:val="24"/>
          </w:rPr>
        </w:pPr>
        <w:r w:rsidRPr="002208F8">
          <w:rPr>
            <w:rFonts w:ascii="Times New Roman" w:hAnsi="Times New Roman" w:cs="Times New Roman"/>
            <w:color w:val="000000" w:themeColor="text1"/>
            <w:sz w:val="24"/>
            <w:szCs w:val="24"/>
          </w:rPr>
          <w:fldChar w:fldCharType="begin"/>
        </w:r>
        <w:r w:rsidR="000017CE" w:rsidRPr="002208F8">
          <w:rPr>
            <w:rFonts w:ascii="Times New Roman" w:hAnsi="Times New Roman" w:cs="Times New Roman"/>
            <w:color w:val="000000" w:themeColor="text1"/>
            <w:sz w:val="24"/>
            <w:szCs w:val="24"/>
          </w:rPr>
          <w:instrText xml:space="preserve"> PAGE   \* MERGEFORMAT </w:instrText>
        </w:r>
        <w:r w:rsidRPr="002208F8">
          <w:rPr>
            <w:rFonts w:ascii="Times New Roman" w:hAnsi="Times New Roman" w:cs="Times New Roman"/>
            <w:color w:val="000000" w:themeColor="text1"/>
            <w:sz w:val="24"/>
            <w:szCs w:val="24"/>
          </w:rPr>
          <w:fldChar w:fldCharType="separate"/>
        </w:r>
        <w:r w:rsidR="00676C65">
          <w:rPr>
            <w:rFonts w:ascii="Times New Roman" w:hAnsi="Times New Roman" w:cs="Times New Roman"/>
            <w:noProof/>
            <w:color w:val="000000" w:themeColor="text1"/>
            <w:sz w:val="24"/>
            <w:szCs w:val="24"/>
          </w:rPr>
          <w:t>4</w:t>
        </w:r>
        <w:r w:rsidRPr="002208F8">
          <w:rPr>
            <w:rFonts w:ascii="Times New Roman" w:hAnsi="Times New Roman" w:cs="Times New Roman"/>
            <w:noProof/>
            <w:color w:val="000000" w:themeColor="text1"/>
            <w:sz w:val="24"/>
            <w:szCs w:val="24"/>
          </w:rPr>
          <w:fldChar w:fldCharType="end"/>
        </w:r>
      </w:p>
    </w:sdtContent>
  </w:sdt>
  <w:p w:rsidR="002208F8" w:rsidRDefault="002208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795C"/>
    <w:rsid w:val="000017CE"/>
    <w:rsid w:val="000B04A8"/>
    <w:rsid w:val="00145C77"/>
    <w:rsid w:val="00155D02"/>
    <w:rsid w:val="00163988"/>
    <w:rsid w:val="00211F03"/>
    <w:rsid w:val="002208F8"/>
    <w:rsid w:val="0039795C"/>
    <w:rsid w:val="0041465C"/>
    <w:rsid w:val="00497E98"/>
    <w:rsid w:val="004A42FA"/>
    <w:rsid w:val="004B534A"/>
    <w:rsid w:val="00676C65"/>
    <w:rsid w:val="0068384B"/>
    <w:rsid w:val="00697583"/>
    <w:rsid w:val="006E618C"/>
    <w:rsid w:val="007B0891"/>
    <w:rsid w:val="007F4559"/>
    <w:rsid w:val="00862E86"/>
    <w:rsid w:val="008634CF"/>
    <w:rsid w:val="00867473"/>
    <w:rsid w:val="009D1E55"/>
    <w:rsid w:val="00AE6E2B"/>
    <w:rsid w:val="00B168C7"/>
    <w:rsid w:val="00BC6C50"/>
    <w:rsid w:val="00BE43E0"/>
    <w:rsid w:val="00C14051"/>
    <w:rsid w:val="00C532E0"/>
    <w:rsid w:val="00CA6EBC"/>
    <w:rsid w:val="00CD7599"/>
    <w:rsid w:val="00CE7D2B"/>
    <w:rsid w:val="00D517CA"/>
    <w:rsid w:val="00D97266"/>
    <w:rsid w:val="00EA2657"/>
    <w:rsid w:val="00ED4EA9"/>
    <w:rsid w:val="00EF4821"/>
    <w:rsid w:val="00F37346"/>
    <w:rsid w:val="00F552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C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988"/>
    <w:rPr>
      <w:color w:val="0563C1" w:themeColor="hyperlink"/>
      <w:u w:val="single"/>
    </w:rPr>
  </w:style>
  <w:style w:type="character" w:customStyle="1" w:styleId="UnresolvedMention1">
    <w:name w:val="Unresolved Mention1"/>
    <w:basedOn w:val="DefaultParagraphFont"/>
    <w:uiPriority w:val="99"/>
    <w:semiHidden/>
    <w:unhideWhenUsed/>
    <w:rsid w:val="00163988"/>
    <w:rPr>
      <w:color w:val="605E5C"/>
      <w:shd w:val="clear" w:color="auto" w:fill="E1DFDD"/>
    </w:rPr>
  </w:style>
  <w:style w:type="paragraph" w:styleId="Header">
    <w:name w:val="header"/>
    <w:basedOn w:val="Normal"/>
    <w:link w:val="HeaderChar"/>
    <w:uiPriority w:val="99"/>
    <w:unhideWhenUsed/>
    <w:rsid w:val="00220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8F8"/>
  </w:style>
  <w:style w:type="paragraph" w:styleId="Footer">
    <w:name w:val="footer"/>
    <w:basedOn w:val="Normal"/>
    <w:link w:val="FooterChar"/>
    <w:uiPriority w:val="99"/>
    <w:unhideWhenUsed/>
    <w:rsid w:val="00220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8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2.ed.gov/programs/promiseneighborhoods/2018/appumd.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2021-02-04T05:47:00Z</dcterms:created>
  <dcterms:modified xsi:type="dcterms:W3CDTF">2021-02-04T05:47:00Z</dcterms:modified>
</cp:coreProperties>
</file>