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9C520F">
      <w:pPr>
        <w:rPr>
          <w:rFonts w:ascii="Times New Roman" w:hAnsi="Times New Roman" w:cs="Times New Roman"/>
          <w:sz w:val="24"/>
          <w:szCs w:val="24"/>
        </w:rPr>
      </w:pPr>
      <w:r>
        <w:rPr>
          <w:rFonts w:ascii="Times New Roman" w:hAnsi="Times New Roman" w:cs="Times New Roman"/>
          <w:sz w:val="24"/>
          <w:szCs w:val="24"/>
        </w:rPr>
        <w:t>Name</w:t>
      </w:r>
    </w:p>
    <w:p w:rsidR="007F3AAF">
      <w:pPr>
        <w:rPr>
          <w:rFonts w:ascii="Times New Roman" w:hAnsi="Times New Roman" w:cs="Times New Roman"/>
          <w:sz w:val="24"/>
          <w:szCs w:val="24"/>
        </w:rPr>
      </w:pPr>
      <w:r>
        <w:rPr>
          <w:rFonts w:ascii="Times New Roman" w:hAnsi="Times New Roman" w:cs="Times New Roman"/>
          <w:sz w:val="24"/>
          <w:szCs w:val="24"/>
        </w:rPr>
        <w:t>Instructor</w:t>
      </w:r>
    </w:p>
    <w:p w:rsidR="007F3AAF">
      <w:pPr>
        <w:rPr>
          <w:rFonts w:ascii="Times New Roman" w:hAnsi="Times New Roman" w:cs="Times New Roman"/>
          <w:sz w:val="24"/>
          <w:szCs w:val="24"/>
        </w:rPr>
      </w:pPr>
      <w:r>
        <w:rPr>
          <w:rFonts w:ascii="Times New Roman" w:hAnsi="Times New Roman" w:cs="Times New Roman"/>
          <w:sz w:val="24"/>
          <w:szCs w:val="24"/>
        </w:rPr>
        <w:t>Course</w:t>
      </w:r>
    </w:p>
    <w:p w:rsidR="007F3AAF">
      <w:pPr>
        <w:rPr>
          <w:rFonts w:ascii="Times New Roman" w:hAnsi="Times New Roman" w:cs="Times New Roman"/>
          <w:sz w:val="24"/>
          <w:szCs w:val="24"/>
        </w:rPr>
      </w:pPr>
      <w:r>
        <w:rPr>
          <w:rFonts w:ascii="Times New Roman" w:hAnsi="Times New Roman" w:cs="Times New Roman"/>
          <w:sz w:val="24"/>
          <w:szCs w:val="24"/>
        </w:rPr>
        <w:t>Code</w:t>
      </w:r>
    </w:p>
    <w:p w:rsidR="007F3AAF">
      <w:pPr>
        <w:rPr>
          <w:rFonts w:ascii="Times New Roman" w:hAnsi="Times New Roman" w:cs="Times New Roman"/>
          <w:sz w:val="24"/>
          <w:szCs w:val="24"/>
        </w:rPr>
      </w:pPr>
      <w:r>
        <w:rPr>
          <w:rFonts w:ascii="Times New Roman" w:hAnsi="Times New Roman" w:cs="Times New Roman"/>
          <w:sz w:val="24"/>
          <w:szCs w:val="24"/>
        </w:rPr>
        <w:t xml:space="preserve">Date </w:t>
      </w:r>
    </w:p>
    <w:p w:rsidR="007F3AAF" w:rsidP="009D24F9">
      <w:pPr>
        <w:jc w:val="center"/>
        <w:rPr>
          <w:rFonts w:ascii="Times New Roman" w:hAnsi="Times New Roman" w:cs="Times New Roman"/>
          <w:sz w:val="24"/>
          <w:szCs w:val="24"/>
        </w:rPr>
      </w:pPr>
      <w:r>
        <w:rPr>
          <w:rFonts w:ascii="Times New Roman" w:hAnsi="Times New Roman" w:cs="Times New Roman"/>
          <w:sz w:val="24"/>
          <w:szCs w:val="24"/>
        </w:rPr>
        <w:t>Article Review</w:t>
      </w:r>
    </w:p>
    <w:p w:rsidR="009D24F9" w:rsidP="009D24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article, </w:t>
      </w:r>
      <w:r w:rsidRPr="009D24F9">
        <w:rPr>
          <w:rFonts w:ascii="Times New Roman" w:hAnsi="Times New Roman" w:cs="Times New Roman"/>
          <w:i/>
          <w:sz w:val="24"/>
          <w:szCs w:val="24"/>
        </w:rPr>
        <w:t xml:space="preserve">“Skin Exposure to Isocyanates: Reasons for Concern,” </w:t>
      </w:r>
      <w:r>
        <w:rPr>
          <w:rFonts w:ascii="Times New Roman" w:hAnsi="Times New Roman" w:cs="Times New Roman"/>
          <w:sz w:val="24"/>
          <w:szCs w:val="24"/>
        </w:rPr>
        <w:t>authored by Dhimiter Bello,</w:t>
      </w:r>
      <w:r w:rsidRPr="009D24F9">
        <w:rPr>
          <w:rFonts w:ascii="Times New Roman" w:hAnsi="Times New Roman" w:cs="Times New Roman"/>
          <w:sz w:val="24"/>
          <w:szCs w:val="24"/>
        </w:rPr>
        <w:t xml:space="preserve"> Christina A. Herrick, Tho</w:t>
      </w:r>
      <w:r>
        <w:rPr>
          <w:rFonts w:ascii="Times New Roman" w:hAnsi="Times New Roman" w:cs="Times New Roman"/>
          <w:sz w:val="24"/>
          <w:szCs w:val="24"/>
        </w:rPr>
        <w:t>mas J. Smith, Susan R. Woskie,</w:t>
      </w:r>
      <w:r w:rsidRPr="009D24F9">
        <w:rPr>
          <w:rFonts w:ascii="Times New Roman" w:hAnsi="Times New Roman" w:cs="Times New Roman"/>
          <w:sz w:val="24"/>
          <w:szCs w:val="24"/>
        </w:rPr>
        <w:t xml:space="preserve"> Robert P. Streicher, Ma</w:t>
      </w:r>
      <w:r>
        <w:rPr>
          <w:rFonts w:ascii="Times New Roman" w:hAnsi="Times New Roman" w:cs="Times New Roman"/>
          <w:sz w:val="24"/>
          <w:szCs w:val="24"/>
        </w:rPr>
        <w:t>rk R. Cullen, Youcheng Liu,</w:t>
      </w:r>
      <w:r w:rsidRPr="009D24F9">
        <w:rPr>
          <w:rFonts w:ascii="Times New Roman" w:hAnsi="Times New Roman" w:cs="Times New Roman"/>
          <w:sz w:val="24"/>
          <w:szCs w:val="24"/>
        </w:rPr>
        <w:t xml:space="preserve"> and Carrie A. Redlich</w:t>
      </w:r>
      <w:r>
        <w:rPr>
          <w:rFonts w:ascii="Times New Roman" w:hAnsi="Times New Roman" w:cs="Times New Roman"/>
          <w:sz w:val="24"/>
          <w:szCs w:val="24"/>
        </w:rPr>
        <w:t xml:space="preserve"> looks into the harmful effects of isocyanates exposure. The article published by </w:t>
      </w:r>
      <w:r w:rsidRPr="00F017B3">
        <w:rPr>
          <w:rFonts w:ascii="Times New Roman" w:hAnsi="Times New Roman" w:cs="Times New Roman"/>
          <w:i/>
          <w:sz w:val="24"/>
          <w:szCs w:val="24"/>
        </w:rPr>
        <w:t>Environmental Health Perspectives</w:t>
      </w:r>
      <w:r w:rsidR="00F017B3">
        <w:rPr>
          <w:rFonts w:ascii="Times New Roman" w:hAnsi="Times New Roman" w:cs="Times New Roman"/>
          <w:i/>
          <w:sz w:val="24"/>
          <w:szCs w:val="24"/>
        </w:rPr>
        <w:t xml:space="preserve"> </w:t>
      </w:r>
      <w:r w:rsidR="00F017B3">
        <w:rPr>
          <w:rFonts w:ascii="Times New Roman" w:hAnsi="Times New Roman" w:cs="Times New Roman"/>
          <w:sz w:val="24"/>
          <w:szCs w:val="24"/>
        </w:rPr>
        <w:t xml:space="preserve">in 2007 carries out an elaborate literature review on scholarly publications in the subject. Bello and colleagues searched the relevant articles from a reliable database such as </w:t>
      </w:r>
      <w:r w:rsidRPr="00F017B3" w:rsidR="00F017B3">
        <w:rPr>
          <w:rFonts w:ascii="Times New Roman" w:hAnsi="Times New Roman" w:cs="Times New Roman"/>
          <w:sz w:val="24"/>
          <w:szCs w:val="24"/>
        </w:rPr>
        <w:t>Medline</w:t>
      </w:r>
      <w:r w:rsidR="00F017B3">
        <w:rPr>
          <w:rFonts w:ascii="Times New Roman" w:hAnsi="Times New Roman" w:cs="Times New Roman"/>
          <w:sz w:val="24"/>
          <w:szCs w:val="24"/>
        </w:rPr>
        <w:t xml:space="preserve">, U.S </w:t>
      </w:r>
      <w:r w:rsidRPr="00F017B3" w:rsidR="00F017B3">
        <w:rPr>
          <w:rFonts w:ascii="Times New Roman" w:hAnsi="Times New Roman" w:cs="Times New Roman"/>
          <w:sz w:val="24"/>
          <w:szCs w:val="24"/>
        </w:rPr>
        <w:t>Environmental Protection Agency</w:t>
      </w:r>
      <w:r w:rsidR="00F017B3">
        <w:rPr>
          <w:rFonts w:ascii="Times New Roman" w:hAnsi="Times New Roman" w:cs="Times New Roman"/>
          <w:sz w:val="24"/>
          <w:szCs w:val="24"/>
        </w:rPr>
        <w:t>, and google database among others. They then analyzed these data fr</w:t>
      </w:r>
      <w:r w:rsidR="00DB5256">
        <w:rPr>
          <w:rFonts w:ascii="Times New Roman" w:hAnsi="Times New Roman" w:cs="Times New Roman"/>
          <w:sz w:val="24"/>
          <w:szCs w:val="24"/>
        </w:rPr>
        <w:t xml:space="preserve">om the selected articles to determine the role of dermal exposure to isocyanate in developing </w:t>
      </w:r>
      <w:r w:rsidRPr="00DB5256" w:rsidR="00DB5256">
        <w:rPr>
          <w:rFonts w:ascii="Times New Roman" w:hAnsi="Times New Roman" w:cs="Times New Roman"/>
          <w:sz w:val="24"/>
          <w:szCs w:val="24"/>
        </w:rPr>
        <w:t>isocyanate asthma.</w:t>
      </w:r>
      <w:r w:rsidR="00DB5256">
        <w:rPr>
          <w:rFonts w:ascii="Times New Roman" w:hAnsi="Times New Roman" w:cs="Times New Roman"/>
          <w:sz w:val="24"/>
          <w:szCs w:val="24"/>
        </w:rPr>
        <w:t xml:space="preserve"> </w:t>
      </w:r>
    </w:p>
    <w:p w:rsidR="00781AF7" w:rsidP="009D24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Isocyanate refers to the reactive chemical compounds </w:t>
      </w:r>
      <w:r w:rsidR="003922AC">
        <w:rPr>
          <w:rFonts w:ascii="Times New Roman" w:hAnsi="Times New Roman" w:cs="Times New Roman"/>
          <w:sz w:val="24"/>
          <w:szCs w:val="24"/>
        </w:rPr>
        <w:t xml:space="preserve">(have functional group N=C=O) widely used in the manufacturing of </w:t>
      </w:r>
      <w:r w:rsidRPr="003922AC" w:rsidR="003922AC">
        <w:rPr>
          <w:rFonts w:ascii="Times New Roman" w:hAnsi="Times New Roman" w:cs="Times New Roman"/>
          <w:sz w:val="24"/>
          <w:szCs w:val="24"/>
        </w:rPr>
        <w:t>polyurethane</w:t>
      </w:r>
      <w:r w:rsidR="003922AC">
        <w:rPr>
          <w:rFonts w:ascii="Times New Roman" w:hAnsi="Times New Roman" w:cs="Times New Roman"/>
          <w:sz w:val="24"/>
          <w:szCs w:val="24"/>
        </w:rPr>
        <w:t xml:space="preserve"> coatings, foam, and several consumer products</w:t>
      </w:r>
      <w:sdt>
        <w:sdtPr>
          <w:rPr>
            <w:rFonts w:ascii="Times New Roman" w:hAnsi="Times New Roman" w:cs="Times New Roman"/>
            <w:sz w:val="24"/>
            <w:szCs w:val="24"/>
          </w:rPr>
          <w:id w:val="-757143278"/>
          <w:citation/>
        </w:sdtPr>
        <w:sdtContent>
          <w:r w:rsidR="003922AC">
            <w:rPr>
              <w:rFonts w:ascii="Times New Roman" w:hAnsi="Times New Roman" w:cs="Times New Roman"/>
              <w:sz w:val="24"/>
              <w:szCs w:val="24"/>
            </w:rPr>
            <w:fldChar w:fldCharType="begin"/>
          </w:r>
          <w:r w:rsidR="003922AC">
            <w:rPr>
              <w:rFonts w:ascii="Times New Roman" w:hAnsi="Times New Roman" w:cs="Times New Roman"/>
              <w:sz w:val="24"/>
              <w:szCs w:val="24"/>
            </w:rPr>
            <w:instrText xml:space="preserve"> CITATION Liu07 \l 1033 </w:instrText>
          </w:r>
          <w:r w:rsidR="003922AC">
            <w:rPr>
              <w:rFonts w:ascii="Times New Roman" w:hAnsi="Times New Roman" w:cs="Times New Roman"/>
              <w:sz w:val="24"/>
              <w:szCs w:val="24"/>
            </w:rPr>
            <w:fldChar w:fldCharType="separate"/>
          </w:r>
          <w:r w:rsidR="003922AC">
            <w:rPr>
              <w:rFonts w:ascii="Times New Roman" w:hAnsi="Times New Roman" w:cs="Times New Roman"/>
              <w:noProof/>
              <w:sz w:val="24"/>
              <w:szCs w:val="24"/>
            </w:rPr>
            <w:t xml:space="preserve"> </w:t>
          </w:r>
          <w:r w:rsidRPr="003922AC" w:rsidR="003922AC">
            <w:rPr>
              <w:rFonts w:ascii="Times New Roman" w:hAnsi="Times New Roman" w:cs="Times New Roman"/>
              <w:noProof/>
              <w:sz w:val="24"/>
              <w:szCs w:val="24"/>
            </w:rPr>
            <w:t>(Liu, et al., 2007)</w:t>
          </w:r>
          <w:r w:rsidR="003922AC">
            <w:rPr>
              <w:rFonts w:ascii="Times New Roman" w:hAnsi="Times New Roman" w:cs="Times New Roman"/>
              <w:sz w:val="24"/>
              <w:szCs w:val="24"/>
            </w:rPr>
            <w:fldChar w:fldCharType="end"/>
          </w:r>
        </w:sdtContent>
      </w:sdt>
      <w:r w:rsidR="003922AC">
        <w:rPr>
          <w:rFonts w:ascii="Times New Roman" w:hAnsi="Times New Roman" w:cs="Times New Roman"/>
          <w:sz w:val="24"/>
          <w:szCs w:val="24"/>
        </w:rPr>
        <w:t xml:space="preserve">. However, long-term skin exposure to the skin increases the chances of an individual developing </w:t>
      </w:r>
      <w:r w:rsidR="002615F3">
        <w:rPr>
          <w:rFonts w:ascii="Times New Roman" w:hAnsi="Times New Roman" w:cs="Times New Roman"/>
          <w:sz w:val="24"/>
          <w:szCs w:val="24"/>
        </w:rPr>
        <w:t xml:space="preserve">isocyanate asthma. Particularly, inhalation of the chemical results in inflammation of the alveoli thus triggering the asthma-like </w:t>
      </w:r>
      <w:r w:rsidR="00F962B3">
        <w:rPr>
          <w:rFonts w:ascii="Times New Roman" w:hAnsi="Times New Roman" w:cs="Times New Roman"/>
          <w:sz w:val="24"/>
          <w:szCs w:val="24"/>
        </w:rPr>
        <w:t>reaction</w:t>
      </w:r>
      <w:sdt>
        <w:sdtPr>
          <w:rPr>
            <w:rFonts w:ascii="Times New Roman" w:hAnsi="Times New Roman" w:cs="Times New Roman"/>
            <w:sz w:val="24"/>
            <w:szCs w:val="24"/>
          </w:rPr>
          <w:id w:val="1597443899"/>
          <w:citation/>
        </w:sdtPr>
        <w:sdtContent>
          <w:r w:rsidR="00F962B3">
            <w:rPr>
              <w:rFonts w:ascii="Times New Roman" w:hAnsi="Times New Roman" w:cs="Times New Roman"/>
              <w:sz w:val="24"/>
              <w:szCs w:val="24"/>
            </w:rPr>
            <w:fldChar w:fldCharType="begin"/>
          </w:r>
          <w:r w:rsidR="00F962B3">
            <w:rPr>
              <w:rFonts w:ascii="Times New Roman" w:hAnsi="Times New Roman" w:cs="Times New Roman"/>
              <w:sz w:val="24"/>
              <w:szCs w:val="24"/>
            </w:rPr>
            <w:instrText xml:space="preserve"> CITATION Liu07 \l 1033 </w:instrText>
          </w:r>
          <w:r w:rsidR="00F962B3">
            <w:rPr>
              <w:rFonts w:ascii="Times New Roman" w:hAnsi="Times New Roman" w:cs="Times New Roman"/>
              <w:sz w:val="24"/>
              <w:szCs w:val="24"/>
            </w:rPr>
            <w:fldChar w:fldCharType="separate"/>
          </w:r>
          <w:r w:rsidR="00F962B3">
            <w:rPr>
              <w:rFonts w:ascii="Times New Roman" w:hAnsi="Times New Roman" w:cs="Times New Roman"/>
              <w:noProof/>
              <w:sz w:val="24"/>
              <w:szCs w:val="24"/>
            </w:rPr>
            <w:t xml:space="preserve"> </w:t>
          </w:r>
          <w:r w:rsidRPr="00F962B3" w:rsidR="00F962B3">
            <w:rPr>
              <w:rFonts w:ascii="Times New Roman" w:hAnsi="Times New Roman" w:cs="Times New Roman"/>
              <w:noProof/>
              <w:sz w:val="24"/>
              <w:szCs w:val="24"/>
            </w:rPr>
            <w:t>(Liu, et al., 2007)</w:t>
          </w:r>
          <w:r w:rsidR="00F962B3">
            <w:rPr>
              <w:rFonts w:ascii="Times New Roman" w:hAnsi="Times New Roman" w:cs="Times New Roman"/>
              <w:sz w:val="24"/>
              <w:szCs w:val="24"/>
            </w:rPr>
            <w:fldChar w:fldCharType="end"/>
          </w:r>
        </w:sdtContent>
      </w:sdt>
      <w:r w:rsidR="00F962B3">
        <w:rPr>
          <w:rFonts w:ascii="Times New Roman" w:hAnsi="Times New Roman" w:cs="Times New Roman"/>
          <w:sz w:val="24"/>
          <w:szCs w:val="24"/>
        </w:rPr>
        <w:t>. The article conclusively discusses the impact of dermal exposure to the chemical compounds and the authors come to a reasonable conclusion. The method of selecting the article was rigorous meaning their findings are reliable.
</w:t>
      </w:r>
    </w:p>
    <w:p w:rsidR="00F962B3" w:rsidP="00F962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Workplace Safety</w:t>
      </w:r>
    </w:p>
    <w:p w:rsidR="00F962B3" w:rsidP="00F96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Department of Labor (DOL) has set up regulations that ensure employees are protecting from injuries or any form of harm at their workplace. Occupational Safety and Health (OSH) </w:t>
      </w:r>
      <w:r w:rsidR="00864696">
        <w:rPr>
          <w:rFonts w:ascii="Times New Roman" w:hAnsi="Times New Roman" w:cs="Times New Roman"/>
          <w:sz w:val="24"/>
          <w:szCs w:val="24"/>
        </w:rPr>
        <w:t>Act was enacted in 1971 to protect the US citizens from potential harm due to negligence at their places of work. The Act requires that all companies provide their employees with protective gears to keep them safe. Besides, it demands that employers have a responsibility to protect their employees</w:t>
      </w:r>
      <w:r w:rsidR="00467F9E">
        <w:rPr>
          <w:rFonts w:ascii="Times New Roman" w:hAnsi="Times New Roman" w:cs="Times New Roman"/>
          <w:sz w:val="24"/>
          <w:szCs w:val="24"/>
        </w:rPr>
        <w:t xml:space="preserve"> by not exposing them to potential hazards like poisonous chemicals, noise beyond required level, mechanical dangers, harmful rays, unsanitary conditions, and cold or heat stress. In a scenario where it compulsory for an employee to operate in such an environment then the company has an obligation to provide them with protective clothing. </w:t>
      </w:r>
      <w:r w:rsidR="008B22B4">
        <w:rPr>
          <w:rFonts w:ascii="Times New Roman" w:hAnsi="Times New Roman" w:cs="Times New Roman"/>
          <w:sz w:val="24"/>
          <w:szCs w:val="24"/>
        </w:rPr>
        <w:t xml:space="preserve">The Act enabled the government to </w:t>
      </w:r>
      <w:r w:rsidR="00C7223A">
        <w:rPr>
          <w:rFonts w:ascii="Times New Roman" w:hAnsi="Times New Roman" w:cs="Times New Roman"/>
          <w:sz w:val="24"/>
          <w:szCs w:val="24"/>
        </w:rPr>
        <w:t>regulations through OSHA Inst</w:t>
      </w:r>
      <w:r w:rsidR="00447A9B">
        <w:rPr>
          <w:rFonts w:ascii="Times New Roman" w:hAnsi="Times New Roman" w:cs="Times New Roman"/>
          <w:sz w:val="24"/>
          <w:szCs w:val="24"/>
        </w:rPr>
        <w:t>ructions policy paper. The policy paper ou</w:t>
      </w:r>
      <w:r w:rsidR="007C2C96">
        <w:rPr>
          <w:rFonts w:ascii="Times New Roman" w:hAnsi="Times New Roman" w:cs="Times New Roman"/>
          <w:sz w:val="24"/>
          <w:szCs w:val="24"/>
        </w:rPr>
        <w:t>tlines various safety requirements for different professionals and industries.</w:t>
      </w:r>
    </w:p>
    <w:p w:rsidR="0044008C" w:rsidP="00F96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stringent safety re</w:t>
      </w:r>
      <w:r w:rsidR="002D20B9">
        <w:rPr>
          <w:rFonts w:ascii="Times New Roman" w:hAnsi="Times New Roman" w:cs="Times New Roman"/>
          <w:sz w:val="24"/>
          <w:szCs w:val="24"/>
        </w:rPr>
        <w:t xml:space="preserve">quirements, several employees still work in harmful conditions. A 2015 report by RAND on </w:t>
      </w:r>
      <w:r w:rsidRPr="002D20B9" w:rsidR="002D20B9">
        <w:rPr>
          <w:rFonts w:ascii="Times New Roman" w:hAnsi="Times New Roman" w:cs="Times New Roman"/>
          <w:sz w:val="24"/>
          <w:szCs w:val="24"/>
        </w:rPr>
        <w:t>American Working Conditions Survey (AWCS)</w:t>
      </w:r>
      <w:r w:rsidR="002D20B9">
        <w:rPr>
          <w:rFonts w:ascii="Times New Roman" w:hAnsi="Times New Roman" w:cs="Times New Roman"/>
          <w:sz w:val="24"/>
          <w:szCs w:val="24"/>
        </w:rPr>
        <w:t xml:space="preserve"> indicate that a significant section of the working population is exposed to outlawed conditions. According to the report, a half-of American </w:t>
      </w:r>
      <w:r w:rsidR="003E0578">
        <w:rPr>
          <w:rFonts w:ascii="Times New Roman" w:hAnsi="Times New Roman" w:cs="Times New Roman"/>
          <w:sz w:val="24"/>
          <w:szCs w:val="24"/>
        </w:rPr>
        <w:t>employees admitted having worked in hazardous conditions</w:t>
      </w:r>
      <w:sdt>
        <w:sdtPr>
          <w:rPr>
            <w:rFonts w:ascii="Times New Roman" w:hAnsi="Times New Roman" w:cs="Times New Roman"/>
            <w:sz w:val="24"/>
            <w:szCs w:val="24"/>
          </w:rPr>
          <w:id w:val="-150594243"/>
          <w:citation/>
        </w:sdtPr>
        <w:sdtContent>
          <w:r w:rsidR="003E0578">
            <w:rPr>
              <w:rFonts w:ascii="Times New Roman" w:hAnsi="Times New Roman" w:cs="Times New Roman"/>
              <w:sz w:val="24"/>
              <w:szCs w:val="24"/>
            </w:rPr>
            <w:fldChar w:fldCharType="begin"/>
          </w:r>
          <w:r w:rsidR="003E0578">
            <w:rPr>
              <w:rFonts w:ascii="Times New Roman" w:hAnsi="Times New Roman" w:cs="Times New Roman"/>
              <w:sz w:val="24"/>
              <w:szCs w:val="24"/>
            </w:rPr>
            <w:instrText xml:space="preserve"> CITATION Nic14 \l 1033 </w:instrText>
          </w:r>
          <w:r w:rsidR="003E0578">
            <w:rPr>
              <w:rFonts w:ascii="Times New Roman" w:hAnsi="Times New Roman" w:cs="Times New Roman"/>
              <w:sz w:val="24"/>
              <w:szCs w:val="24"/>
            </w:rPr>
            <w:fldChar w:fldCharType="separate"/>
          </w:r>
          <w:r w:rsidR="003E0578">
            <w:rPr>
              <w:rFonts w:ascii="Times New Roman" w:hAnsi="Times New Roman" w:cs="Times New Roman"/>
              <w:noProof/>
              <w:sz w:val="24"/>
              <w:szCs w:val="24"/>
            </w:rPr>
            <w:t xml:space="preserve"> </w:t>
          </w:r>
          <w:r w:rsidRPr="003E0578" w:rsidR="003E0578">
            <w:rPr>
              <w:rFonts w:ascii="Times New Roman" w:hAnsi="Times New Roman" w:cs="Times New Roman"/>
              <w:noProof/>
              <w:sz w:val="24"/>
              <w:szCs w:val="24"/>
            </w:rPr>
            <w:t>(Maestas, Mullen, Powell, Wachter, &amp; Wenger, 2014)</w:t>
          </w:r>
          <w:r w:rsidR="003E0578">
            <w:rPr>
              <w:rFonts w:ascii="Times New Roman" w:hAnsi="Times New Roman" w:cs="Times New Roman"/>
              <w:sz w:val="24"/>
              <w:szCs w:val="24"/>
            </w:rPr>
            <w:fldChar w:fldCharType="end"/>
          </w:r>
        </w:sdtContent>
      </w:sdt>
      <w:r w:rsidR="00A216E2">
        <w:rPr>
          <w:rFonts w:ascii="Times New Roman" w:hAnsi="Times New Roman" w:cs="Times New Roman"/>
          <w:sz w:val="24"/>
          <w:szCs w:val="24"/>
        </w:rPr>
        <w:t xml:space="preserve">. </w:t>
      </w:r>
      <w:r w:rsidR="003868A5">
        <w:rPr>
          <w:rFonts w:ascii="Times New Roman" w:hAnsi="Times New Roman" w:cs="Times New Roman"/>
          <w:sz w:val="24"/>
          <w:szCs w:val="24"/>
        </w:rPr>
        <w:t xml:space="preserve">The data from </w:t>
      </w:r>
      <w:r w:rsidRPr="003868A5" w:rsidR="003868A5">
        <w:rPr>
          <w:rFonts w:ascii="Times New Roman" w:hAnsi="Times New Roman" w:cs="Times New Roman"/>
          <w:sz w:val="24"/>
          <w:szCs w:val="24"/>
        </w:rPr>
        <w:t>the Bureau of Labor Statistics</w:t>
      </w:r>
      <w:r w:rsidR="003868A5">
        <w:rPr>
          <w:rFonts w:ascii="Times New Roman" w:hAnsi="Times New Roman" w:cs="Times New Roman"/>
          <w:sz w:val="24"/>
          <w:szCs w:val="24"/>
        </w:rPr>
        <w:t xml:space="preserve"> further indicate that the number of workplace-related deaths is on the upward trend since 2012. For instance, there were </w:t>
      </w:r>
      <w:r w:rsidRPr="003868A5" w:rsidR="003868A5">
        <w:rPr>
          <w:rFonts w:ascii="Times New Roman" w:hAnsi="Times New Roman" w:cs="Times New Roman"/>
          <w:sz w:val="24"/>
          <w:szCs w:val="24"/>
        </w:rPr>
        <w:t>5,190</w:t>
      </w:r>
      <w:r w:rsidR="003868A5">
        <w:rPr>
          <w:rFonts w:ascii="Times New Roman" w:hAnsi="Times New Roman" w:cs="Times New Roman"/>
          <w:sz w:val="24"/>
          <w:szCs w:val="24"/>
        </w:rPr>
        <w:t xml:space="preserve"> reported deaths in </w:t>
      </w:r>
      <w:r w:rsidR="00553751">
        <w:rPr>
          <w:rFonts w:ascii="Times New Roman" w:hAnsi="Times New Roman" w:cs="Times New Roman"/>
          <w:sz w:val="24"/>
          <w:szCs w:val="24"/>
        </w:rPr>
        <w:t>2016 which was a 7 percent rise from 2015 also an increase of 12 percent compared to 2012</w:t>
      </w:r>
      <w:sdt>
        <w:sdtPr>
          <w:rPr>
            <w:rFonts w:ascii="Times New Roman" w:hAnsi="Times New Roman" w:cs="Times New Roman"/>
            <w:sz w:val="24"/>
            <w:szCs w:val="24"/>
          </w:rPr>
          <w:id w:val="-1722347063"/>
          <w:citation/>
        </w:sdtPr>
        <w:sdtContent>
          <w:r w:rsidR="00553751">
            <w:rPr>
              <w:rFonts w:ascii="Times New Roman" w:hAnsi="Times New Roman" w:cs="Times New Roman"/>
              <w:sz w:val="24"/>
              <w:szCs w:val="24"/>
            </w:rPr>
            <w:fldChar w:fldCharType="begin"/>
          </w:r>
          <w:r w:rsidR="00C808AA">
            <w:rPr>
              <w:rFonts w:ascii="Times New Roman" w:hAnsi="Times New Roman" w:cs="Times New Roman"/>
              <w:sz w:val="24"/>
              <w:szCs w:val="24"/>
            </w:rPr>
            <w:instrText xml:space="preserve">CITATION BLS18 \l 1033 </w:instrText>
          </w:r>
          <w:r w:rsidR="00553751">
            <w:rPr>
              <w:rFonts w:ascii="Times New Roman" w:hAnsi="Times New Roman" w:cs="Times New Roman"/>
              <w:sz w:val="24"/>
              <w:szCs w:val="24"/>
            </w:rPr>
            <w:fldChar w:fldCharType="separate"/>
          </w:r>
          <w:r w:rsidR="00C808AA">
            <w:rPr>
              <w:rFonts w:ascii="Times New Roman" w:hAnsi="Times New Roman" w:cs="Times New Roman"/>
              <w:noProof/>
              <w:sz w:val="24"/>
              <w:szCs w:val="24"/>
            </w:rPr>
            <w:t xml:space="preserve"> </w:t>
          </w:r>
          <w:r w:rsidRPr="00C808AA" w:rsidR="00C808AA">
            <w:rPr>
              <w:rFonts w:ascii="Times New Roman" w:hAnsi="Times New Roman" w:cs="Times New Roman"/>
              <w:noProof/>
              <w:sz w:val="24"/>
              <w:szCs w:val="24"/>
            </w:rPr>
            <w:t>(BUREAU Labor Statistics, 2018)</w:t>
          </w:r>
          <w:r w:rsidR="00553751">
            <w:rPr>
              <w:rFonts w:ascii="Times New Roman" w:hAnsi="Times New Roman" w:cs="Times New Roman"/>
              <w:sz w:val="24"/>
              <w:szCs w:val="24"/>
            </w:rPr>
            <w:fldChar w:fldCharType="end"/>
          </w:r>
        </w:sdtContent>
      </w:sdt>
      <w:r w:rsidR="00553751">
        <w:rPr>
          <w:rFonts w:ascii="Times New Roman" w:hAnsi="Times New Roman" w:cs="Times New Roman"/>
          <w:sz w:val="24"/>
          <w:szCs w:val="24"/>
        </w:rPr>
        <w:t xml:space="preserve">. </w:t>
      </w:r>
      <w:r w:rsidR="00810880">
        <w:rPr>
          <w:rFonts w:ascii="Times New Roman" w:hAnsi="Times New Roman" w:cs="Times New Roman"/>
          <w:sz w:val="24"/>
          <w:szCs w:val="24"/>
        </w:rPr>
        <w:t xml:space="preserve">Additionally, the data indicate that 697 deaths were due to falls, strips, and slips making companies in construction, power-line installers, and maintenance services </w:t>
      </w:r>
      <w:r>
        <w:rPr>
          <w:rFonts w:ascii="Times New Roman" w:hAnsi="Times New Roman" w:cs="Times New Roman"/>
          <w:sz w:val="24"/>
          <w:szCs w:val="24"/>
        </w:rPr>
        <w:t>industries among the worst to work for in the country</w:t>
      </w:r>
      <w:sdt>
        <w:sdtPr>
          <w:rPr>
            <w:rFonts w:ascii="Times New Roman" w:hAnsi="Times New Roman" w:cs="Times New Roman"/>
            <w:sz w:val="24"/>
            <w:szCs w:val="24"/>
          </w:rPr>
          <w:id w:val="2014332729"/>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BLS18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44008C">
            <w:rPr>
              <w:rFonts w:ascii="Times New Roman" w:hAnsi="Times New Roman" w:cs="Times New Roman"/>
              <w:noProof/>
              <w:sz w:val="24"/>
              <w:szCs w:val="24"/>
            </w:rPr>
            <w:t>(Bureau Labor Statistics, 2018)</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7C2C96" w:rsidP="00F96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despite the existence of legal requirements for employers to protect their employees from hazardous conditions, the number of workplace-related deaths are still significantly high. </w:t>
      </w:r>
      <w:r w:rsidR="00AF6E5A">
        <w:rPr>
          <w:rFonts w:ascii="Times New Roman" w:hAnsi="Times New Roman" w:cs="Times New Roman"/>
          <w:sz w:val="24"/>
          <w:szCs w:val="24"/>
        </w:rPr>
        <w:t>Occupation Safety and Health Administration policy paper develop guidelines that outline measures to protect employees in different professions. Adherence to these guidelines will significantly reduce the cases workplace-related injuries or deaths.</w:t>
      </w:r>
      <w:r w:rsidR="00810880">
        <w:rPr>
          <w:rFonts w:ascii="Times New Roman" w:hAnsi="Times New Roman" w:cs="Times New Roman"/>
          <w:sz w:val="24"/>
          <w:szCs w:val="24"/>
        </w:rPr>
        <w:t xml:space="preserve"> </w:t>
      </w: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p>
    <w:p w:rsidR="008461DC" w:rsidP="00F962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References </w:t>
      </w:r>
    </w:p>
    <w:p w:rsidR="008461DC" w:rsidP="008461DC">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BUREAU of Labor Statistics. (2018). Retrieved from https://www.bls.gov/iif/oshwc/cfoi/cfch0015.pdf
</w:t>
      </w:r>
    </w:p>
    <w:p w:rsidR="008461DC" w:rsidP="008461DC">
      <w:pPr>
        <w:pStyle w:val="Bibliography"/>
        <w:ind w:left="720" w:hanging="720"/>
        <w:rPr>
          <w:noProof/>
        </w:rPr>
      </w:pPr>
      <w:r>
        <w:rPr>
          <w:noProof/>
        </w:rPr>
        <w:t xml:space="preserve">Liu, Y., Redlich, C. A., Bello, D., Herrick, C. A., Smith, T. J., Woskie, S. R., . . . Cullen, M. R. (2007, March). Skin Exposure to Isocyanates: Reasons for Concern. </w:t>
      </w:r>
      <w:r>
        <w:rPr>
          <w:i/>
          <w:iCs/>
          <w:noProof/>
        </w:rPr>
        <w:t>Environmental Health Perspectives, 115</w:t>
      </w:r>
      <w:r>
        <w:rPr>
          <w:noProof/>
        </w:rPr>
        <w:t>(3).</w:t>
      </w:r>
    </w:p>
    <w:p w:rsidR="008461DC" w:rsidP="008461DC">
      <w:pPr>
        <w:pStyle w:val="Bibliography"/>
        <w:ind w:left="720" w:hanging="720"/>
        <w:rPr>
          <w:noProof/>
        </w:rPr>
      </w:pPr>
      <w:r>
        <w:rPr>
          <w:noProof/>
        </w:rPr>
        <w:t xml:space="preserve">Maestas, N., Mullen, K. J., Powell, D., Wachter, T. v., &amp; Wenger, J. B. (2014). </w:t>
      </w:r>
      <w:r>
        <w:rPr>
          <w:i/>
          <w:iCs/>
          <w:noProof/>
        </w:rPr>
        <w:t>Working Conditions in the United States</w:t>
      </w:r>
      <w:r>
        <w:rPr>
          <w:noProof/>
        </w:rPr>
        <w:t>. Retrieved from RAND: https://www.rand.org/pubs/research_reports/RR2014.html
</w:t>
      </w:r>
    </w:p>
    <w:p w:rsidR="008461DC" w:rsidP="008461DC">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8461DC" w:rsidP="00F962B3">
      <w:pPr>
        <w:spacing w:line="480" w:lineRule="auto"/>
        <w:ind w:firstLine="720"/>
        <w:rPr>
          <w:rFonts w:ascii="Times New Roman" w:hAnsi="Times New Roman" w:cs="Times New Roman"/>
          <w:sz w:val="24"/>
          <w:szCs w:val="24"/>
        </w:rPr>
      </w:pPr>
    </w:p>
    <w:p w:rsidR="00F962B3" w:rsidP="009D24F9">
      <w:pPr>
        <w:spacing w:line="480" w:lineRule="auto"/>
        <w:ind w:firstLine="720"/>
        <w:rPr>
          <w:rFonts w:ascii="Times New Roman" w:hAnsi="Times New Roman" w:cs="Times New Roman"/>
          <w:sz w:val="24"/>
          <w:szCs w:val="24"/>
        </w:rPr>
      </w:pPr>
    </w:p>
    <w:p w:rsidR="00781AF7" w:rsidRPr="00F017B3" w:rsidP="009D24F9">
      <w:pPr>
        <w:spacing w:line="480" w:lineRule="auto"/>
        <w:ind w:firstLine="720"/>
        <w:rPr>
          <w:rFonts w:ascii="Times New Roman" w:hAnsi="Times New Roman" w:cs="Times New Roman"/>
          <w:sz w:val="24"/>
          <w:szCs w:val="24"/>
        </w:rPr>
      </w:pPr>
    </w:p>
    <w:p w:rsidR="009D24F9" w:rsidRPr="007F3AAF" w:rsidP="009D24F9">
      <w:pPr>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AAF" w:rsidRPr="007F3AAF" w:rsidP="007F3AAF">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7F3AAF">
      <w:rPr>
        <w:rFonts w:ascii="Times New Roman" w:hAnsi="Times New Roman" w:cs="Times New Roman"/>
        <w:sz w:val="24"/>
        <w:szCs w:val="24"/>
      </w:rPr>
      <w:fldChar w:fldCharType="begin"/>
    </w:r>
    <w:r w:rsidRPr="007F3AAF">
      <w:rPr>
        <w:rFonts w:ascii="Times New Roman" w:hAnsi="Times New Roman" w:cs="Times New Roman"/>
        <w:sz w:val="24"/>
        <w:szCs w:val="24"/>
      </w:rPr>
      <w:instrText xml:space="preserve"> PAGE   \* MERGEFORMAT </w:instrText>
    </w:r>
    <w:r w:rsidRPr="007F3AAF">
      <w:rPr>
        <w:rFonts w:ascii="Times New Roman" w:hAnsi="Times New Roman" w:cs="Times New Roman"/>
        <w:sz w:val="24"/>
        <w:szCs w:val="24"/>
      </w:rPr>
      <w:fldChar w:fldCharType="separate"/>
    </w:r>
    <w:r w:rsidR="008461DC">
      <w:rPr>
        <w:rFonts w:ascii="Times New Roman" w:hAnsi="Times New Roman" w:cs="Times New Roman"/>
        <w:noProof/>
        <w:sz w:val="24"/>
        <w:szCs w:val="24"/>
      </w:rPr>
      <w:t>4</w:t>
    </w:r>
    <w:r w:rsidRPr="007F3AAF">
      <w:rPr>
        <w:rFonts w:ascii="Times New Roman" w:hAnsi="Times New Roman" w:cs="Times New Roman"/>
        <w:noProof/>
        <w:sz w:val="24"/>
        <w:szCs w:val="24"/>
      </w:rPr>
      <w:fldChar w:fldCharType="end"/>
    </w:r>
  </w:p>
  <w:p w:rsidR="007F3A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AAF"/>
    <w:rsid w:val="002615F3"/>
    <w:rsid w:val="002B631F"/>
    <w:rsid w:val="002D20B9"/>
    <w:rsid w:val="00383CE1"/>
    <w:rsid w:val="003868A5"/>
    <w:rsid w:val="003922AC"/>
    <w:rsid w:val="003E0578"/>
    <w:rsid w:val="0044008C"/>
    <w:rsid w:val="00447A9B"/>
    <w:rsid w:val="00467F9E"/>
    <w:rsid w:val="00553751"/>
    <w:rsid w:val="00781AF7"/>
    <w:rsid w:val="0079449E"/>
    <w:rsid w:val="007C2C96"/>
    <w:rsid w:val="007F3AAF"/>
    <w:rsid w:val="00810880"/>
    <w:rsid w:val="008461DC"/>
    <w:rsid w:val="00864696"/>
    <w:rsid w:val="008B22B4"/>
    <w:rsid w:val="009C520F"/>
    <w:rsid w:val="009D24F9"/>
    <w:rsid w:val="00A216E2"/>
    <w:rsid w:val="00AF6E5A"/>
    <w:rsid w:val="00C67A4D"/>
    <w:rsid w:val="00C7223A"/>
    <w:rsid w:val="00C808AA"/>
    <w:rsid w:val="00DB5256"/>
    <w:rsid w:val="00F017B3"/>
    <w:rsid w:val="00F51025"/>
    <w:rsid w:val="00F962B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4D5DF0E-CB52-4798-B9A8-A41AEC508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AAF"/>
  </w:style>
  <w:style w:type="paragraph" w:styleId="Footer">
    <w:name w:val="footer"/>
    <w:basedOn w:val="Normal"/>
    <w:link w:val="FooterChar"/>
    <w:uiPriority w:val="99"/>
    <w:unhideWhenUsed/>
    <w:rsid w:val="007F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AAF"/>
  </w:style>
  <w:style w:type="paragraph" w:styleId="Bibliography">
    <w:name w:val="Bibliography"/>
    <w:basedOn w:val="Normal"/>
    <w:next w:val="Normal"/>
    <w:uiPriority w:val="37"/>
    <w:unhideWhenUsed/>
    <w:rsid w:val="008461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Liu07</b:Tag>
    <b:SourceType>JournalArticle</b:SourceType>
    <b:Guid>{62CDC6AF-DA56-47CF-91A7-BAF375B262F2}</b:Guid>
    <b:Author>
      <b:Author>
        <b:NameList>
          <b:Person>
            <b:Last>Liu</b:Last>
            <b:First>Youcheng</b:First>
          </b:Person>
          <b:Person>
            <b:Last>Redlich</b:Last>
            <b:First>Carrie</b:First>
            <b:Middle>A.</b:Middle>
          </b:Person>
          <b:Person>
            <b:Last>Bello</b:Last>
            <b:First>Dhimiter</b:First>
          </b:Person>
          <b:Person>
            <b:Last>Herrick</b:Last>
            <b:First>Christina</b:First>
            <b:Middle>A.</b:Middle>
          </b:Person>
          <b:Person>
            <b:Last>Smith</b:Last>
            <b:First>Thomas</b:First>
            <b:Middle>J.</b:Middle>
          </b:Person>
          <b:Person>
            <b:Last>Woskie</b:Last>
            <b:First>Susan</b:First>
            <b:Middle>R.</b:Middle>
          </b:Person>
          <b:Person>
            <b:Last>Streicher</b:Last>
            <b:First>Robert</b:First>
            <b:Middle>P.</b:Middle>
          </b:Person>
          <b:Person>
            <b:Last>Cullen</b:Last>
            <b:First>Mark</b:First>
            <b:Middle>R.</b:Middle>
          </b:Person>
        </b:NameList>
      </b:Author>
    </b:Author>
    <b:Title>Skin Exposure to Isocyanates: Reasons for Concern</b:Title>
    <b:JournalName>Environmental Health Perspectives</b:JournalName>
    <b:Year>2007</b:Year>
    <b:Month>March</b:Month>
    <b:Volume>115</b:Volume>
    <b:Issue>3</b:Issue>
    <b:RefOrder>1</b:RefOrder>
  </b:Source>
  <b:Source>
    <b:Tag>Nic14</b:Tag>
    <b:SourceType>InternetSite</b:SourceType>
    <b:Guid>{1FB7AAC4-A271-4BFC-8523-5C19D6C24D21}</b:Guid>
    <b:Author>
      <b:Author>
        <b:NameList>
          <b:Person>
            <b:Last>Maestas</b:Last>
            <b:First>Nicole</b:First>
          </b:Person>
          <b:Person>
            <b:Last>Mullen</b:Last>
            <b:First>Kathleen</b:First>
            <b:Middle>J.</b:Middle>
          </b:Person>
          <b:Person>
            <b:Last>Powell</b:Last>
            <b:First>David</b:First>
          </b:Person>
          <b:Person>
            <b:Last>Wachter</b:Last>
            <b:First>Till</b:First>
            <b:Middle>von</b:Middle>
          </b:Person>
          <b:Person>
            <b:Last>Wenger</b:Last>
            <b:First>Jeffrey</b:First>
            <b:Middle>B.</b:Middle>
          </b:Person>
        </b:NameList>
      </b:Author>
    </b:Author>
    <b:Title>Working Conditions in the United States</b:Title>
    <b:InternetSiteTitle>RAND </b:InternetSiteTitle>
    <b:Year>2014</b:Year>
    <b:URL>https://www.rand.org/pubs/research_reports/RR2014.html</b:URL>
    <b:RefOrder>2</b:RefOrder>
  </b:Source>
  <b:Source>
    <b:Tag>BLS18</b:Tag>
    <b:SourceType>DocumentFromInternetSite</b:SourceType>
    <b:Guid>{F2490931-5544-4A87-8AEE-C02A3174CFA0}</b:Guid>
    <b:Year>2018</b:Year>
    <b:URL>https://www.bls.gov/iif/oshwc/cfoi/cfch0015.pdf</b:URL>
    <b:Author>
      <b:Author>
        <b:Corporate>BUREAU Labor Statistics</b:Corporate>
      </b:Author>
    </b:Author>
    <b:RefOrder>3</b:RefOrder>
  </b:Source>
</b:Sources>
</file>

<file path=customXml/itemProps1.xml><?xml version="1.0" encoding="utf-8"?>
<ds:datastoreItem xmlns:ds="http://schemas.openxmlformats.org/officeDocument/2006/customXml" ds:itemID="{E7C816C5-2016-4FC5-925B-642BFF009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14</cp:revision>
  <dcterms:created xsi:type="dcterms:W3CDTF">2018-11-17T18:52:00Z</dcterms:created>
  <dcterms:modified xsi:type="dcterms:W3CDTF">2018-11-17T21:25:00Z</dcterms:modified>
</cp:coreProperties>
</file>