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9D2" w:rsidRDefault="002039D2" w:rsidP="002039D2">
      <w:pPr>
        <w:spacing w:line="480" w:lineRule="auto"/>
        <w:jc w:val="center"/>
        <w:rPr>
          <w:rFonts w:ascii="Times New Roman" w:hAnsi="Times New Roman" w:cs="Times New Roman"/>
          <w:sz w:val="24"/>
          <w:szCs w:val="24"/>
        </w:rPr>
      </w:pPr>
    </w:p>
    <w:p w:rsidR="002039D2" w:rsidRDefault="002039D2" w:rsidP="002039D2">
      <w:pPr>
        <w:spacing w:line="480" w:lineRule="auto"/>
        <w:jc w:val="center"/>
        <w:rPr>
          <w:rFonts w:ascii="Times New Roman" w:hAnsi="Times New Roman" w:cs="Times New Roman"/>
          <w:sz w:val="24"/>
          <w:szCs w:val="24"/>
        </w:rPr>
      </w:pPr>
    </w:p>
    <w:p w:rsidR="002039D2" w:rsidRDefault="002039D2" w:rsidP="002039D2">
      <w:pPr>
        <w:spacing w:line="480" w:lineRule="auto"/>
        <w:jc w:val="center"/>
        <w:rPr>
          <w:rFonts w:ascii="Times New Roman" w:hAnsi="Times New Roman" w:cs="Times New Roman"/>
          <w:sz w:val="24"/>
          <w:szCs w:val="24"/>
        </w:rPr>
      </w:pPr>
    </w:p>
    <w:p w:rsidR="002039D2" w:rsidRDefault="002039D2" w:rsidP="002039D2">
      <w:pPr>
        <w:spacing w:line="480" w:lineRule="auto"/>
        <w:jc w:val="center"/>
        <w:rPr>
          <w:rFonts w:ascii="Times New Roman" w:hAnsi="Times New Roman" w:cs="Times New Roman"/>
          <w:sz w:val="24"/>
          <w:szCs w:val="24"/>
        </w:rPr>
      </w:pPr>
    </w:p>
    <w:p w:rsidR="00FA7368" w:rsidRDefault="00FA7368" w:rsidP="002039D2">
      <w:pPr>
        <w:spacing w:line="480" w:lineRule="auto"/>
        <w:jc w:val="center"/>
        <w:rPr>
          <w:rFonts w:ascii="Times New Roman" w:hAnsi="Times New Roman" w:cs="Times New Roman"/>
          <w:sz w:val="24"/>
          <w:szCs w:val="24"/>
        </w:rPr>
      </w:pPr>
    </w:p>
    <w:p w:rsidR="00FA7368" w:rsidRDefault="00FA7368" w:rsidP="002039D2">
      <w:pPr>
        <w:spacing w:line="480" w:lineRule="auto"/>
        <w:jc w:val="center"/>
        <w:rPr>
          <w:rFonts w:ascii="Times New Roman" w:hAnsi="Times New Roman" w:cs="Times New Roman"/>
          <w:sz w:val="24"/>
          <w:szCs w:val="24"/>
        </w:rPr>
      </w:pPr>
    </w:p>
    <w:p w:rsidR="002039D2" w:rsidRDefault="002039D2" w:rsidP="002039D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Gender Stereotyping </w:t>
      </w:r>
    </w:p>
    <w:p w:rsidR="002039D2" w:rsidRPr="002039D2" w:rsidRDefault="002039D2" w:rsidP="002039D2">
      <w:pPr>
        <w:spacing w:line="480" w:lineRule="auto"/>
        <w:jc w:val="center"/>
        <w:rPr>
          <w:rFonts w:ascii="Times New Roman" w:hAnsi="Times New Roman" w:cs="Times New Roman"/>
          <w:sz w:val="24"/>
          <w:szCs w:val="24"/>
        </w:rPr>
      </w:pPr>
      <w:r w:rsidRPr="002039D2">
        <w:rPr>
          <w:rFonts w:ascii="Times New Roman" w:hAnsi="Times New Roman" w:cs="Times New Roman"/>
          <w:sz w:val="24"/>
          <w:szCs w:val="24"/>
        </w:rPr>
        <w:t>Name:</w:t>
      </w:r>
    </w:p>
    <w:p w:rsidR="002039D2" w:rsidRPr="002039D2" w:rsidRDefault="002039D2" w:rsidP="002039D2">
      <w:pPr>
        <w:spacing w:line="480" w:lineRule="auto"/>
        <w:jc w:val="center"/>
        <w:rPr>
          <w:rFonts w:ascii="Times New Roman" w:hAnsi="Times New Roman" w:cs="Times New Roman"/>
          <w:sz w:val="24"/>
          <w:szCs w:val="24"/>
        </w:rPr>
      </w:pPr>
      <w:r w:rsidRPr="002039D2">
        <w:rPr>
          <w:rFonts w:ascii="Times New Roman" w:hAnsi="Times New Roman" w:cs="Times New Roman"/>
          <w:sz w:val="24"/>
          <w:szCs w:val="24"/>
        </w:rPr>
        <w:t>Professor:</w:t>
      </w:r>
    </w:p>
    <w:p w:rsidR="002039D2" w:rsidRPr="002039D2" w:rsidRDefault="002039D2" w:rsidP="002039D2">
      <w:pPr>
        <w:spacing w:line="480" w:lineRule="auto"/>
        <w:jc w:val="center"/>
        <w:rPr>
          <w:rFonts w:ascii="Times New Roman" w:hAnsi="Times New Roman" w:cs="Times New Roman"/>
          <w:sz w:val="24"/>
          <w:szCs w:val="24"/>
        </w:rPr>
      </w:pPr>
      <w:r w:rsidRPr="002039D2">
        <w:rPr>
          <w:rFonts w:ascii="Times New Roman" w:hAnsi="Times New Roman" w:cs="Times New Roman"/>
          <w:sz w:val="24"/>
          <w:szCs w:val="24"/>
        </w:rPr>
        <w:t>Course title:</w:t>
      </w:r>
    </w:p>
    <w:p w:rsidR="002039D2" w:rsidRPr="002039D2" w:rsidRDefault="002039D2" w:rsidP="002039D2">
      <w:pPr>
        <w:spacing w:line="480" w:lineRule="auto"/>
        <w:jc w:val="center"/>
        <w:rPr>
          <w:rFonts w:ascii="Times New Roman" w:hAnsi="Times New Roman" w:cs="Times New Roman"/>
          <w:sz w:val="24"/>
          <w:szCs w:val="24"/>
        </w:rPr>
      </w:pPr>
      <w:r w:rsidRPr="002039D2">
        <w:rPr>
          <w:rFonts w:ascii="Times New Roman" w:hAnsi="Times New Roman" w:cs="Times New Roman"/>
          <w:sz w:val="24"/>
          <w:szCs w:val="24"/>
        </w:rPr>
        <w:t>Institution:</w:t>
      </w:r>
    </w:p>
    <w:p w:rsidR="002E472B" w:rsidRDefault="002039D2" w:rsidP="002039D2">
      <w:pPr>
        <w:spacing w:line="480" w:lineRule="auto"/>
        <w:jc w:val="center"/>
        <w:rPr>
          <w:rFonts w:ascii="Times New Roman" w:hAnsi="Times New Roman" w:cs="Times New Roman"/>
          <w:sz w:val="24"/>
          <w:szCs w:val="24"/>
        </w:rPr>
      </w:pPr>
      <w:r w:rsidRPr="002039D2">
        <w:rPr>
          <w:rFonts w:ascii="Times New Roman" w:hAnsi="Times New Roman" w:cs="Times New Roman"/>
          <w:sz w:val="24"/>
          <w:szCs w:val="24"/>
        </w:rPr>
        <w:t>Date:</w:t>
      </w:r>
      <w:r w:rsidR="002E472B">
        <w:rPr>
          <w:rFonts w:ascii="Times New Roman" w:hAnsi="Times New Roman" w:cs="Times New Roman"/>
          <w:sz w:val="24"/>
          <w:szCs w:val="24"/>
        </w:rPr>
        <w:br w:type="page"/>
      </w:r>
    </w:p>
    <w:p w:rsidR="00362FA5"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lastRenderedPageBreak/>
        <w:t xml:space="preserve">Social constructions and categorizations are social aspects that affect various issues in society. They are generalized views and preconceptions about various groups of people, their attributes and things that they should do, and certain ways in which they should behave. Stereotypes are an example of constructions. They are false and misleading general assumptions about groups, held in a way that makes such groups, largely or not entirely immune to counterevidence. They powerfully influence the perception of those who create them of the stereotyped groups. The stereotype sees stereotypic characteristics when they are not present, failing to appreciate or note the contrary to the characteristics when they are, and generally homogenizing the group.  They are social categorizations that could have both positive and negative </w:t>
      </w:r>
      <w:r w:rsidR="008E23D2" w:rsidRPr="00C54EF0">
        <w:rPr>
          <w:rFonts w:ascii="Times New Roman" w:hAnsi="Times New Roman" w:cs="Times New Roman"/>
          <w:sz w:val="24"/>
          <w:szCs w:val="24"/>
        </w:rPr>
        <w:t>impacts</w:t>
      </w:r>
      <w:r w:rsidR="008E23D2">
        <w:rPr>
          <w:rFonts w:ascii="Times New Roman" w:hAnsi="Times New Roman" w:cs="Times New Roman"/>
          <w:sz w:val="24"/>
          <w:szCs w:val="24"/>
        </w:rPr>
        <w:t xml:space="preserve"> (Cook, 2011</w:t>
      </w:r>
      <w:r w:rsidR="004E04A8">
        <w:rPr>
          <w:rFonts w:ascii="Times New Roman" w:hAnsi="Times New Roman" w:cs="Times New Roman"/>
          <w:sz w:val="24"/>
          <w:szCs w:val="24"/>
        </w:rPr>
        <w:t>)</w:t>
      </w:r>
      <w:r w:rsidRPr="00C54EF0">
        <w:rPr>
          <w:rFonts w:ascii="Times New Roman" w:hAnsi="Times New Roman" w:cs="Times New Roman"/>
          <w:sz w:val="24"/>
          <w:szCs w:val="24"/>
        </w:rPr>
        <w:t xml:space="preserve">. </w:t>
      </w:r>
    </w:p>
    <w:p w:rsidR="00C54EF0" w:rsidRPr="00C54EF0"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t>Currently, false preconceptions on women and men have proven to have different impacts on different parameters of life, from home to the workplace. There exist stereotypes on the capabilities of females and males, for instance, "women are more nurturing than men", "the female gender is a weaker gender", "males are better in mathematics and technical roles compared to women" to mention but a few. These assumptions define the groups without any tangible evidence and impact on matters of equality and empowerment. While some are empowering it is important to consider the facts and also the impacts of these social categorizations. Gender equality has been a subject of contestation across many social, economic, and even religious contexts, and some of the arguments put forward are based on stereotypes. This work will focus on gender stereotyping and its impacts.</w:t>
      </w:r>
    </w:p>
    <w:p w:rsidR="00C54EF0" w:rsidRPr="00C54EF0"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t>Gender stereotyping is the practice of ascribing to an individual woman or man specific attributes,</w:t>
      </w:r>
      <w:r w:rsidR="002E472B">
        <w:rPr>
          <w:rFonts w:ascii="Times New Roman" w:hAnsi="Times New Roman" w:cs="Times New Roman"/>
          <w:sz w:val="24"/>
          <w:szCs w:val="24"/>
        </w:rPr>
        <w:t xml:space="preserve"> </w:t>
      </w:r>
      <w:r w:rsidRPr="00C54EF0">
        <w:rPr>
          <w:rFonts w:ascii="Times New Roman" w:hAnsi="Times New Roman" w:cs="Times New Roman"/>
          <w:sz w:val="24"/>
          <w:szCs w:val="24"/>
        </w:rPr>
        <w:t xml:space="preserve">characteristics, or roles by reason only of her or his membership in the social group of women or men. It is a social construction, socialization that has resulted often resulted in the </w:t>
      </w:r>
      <w:r w:rsidRPr="00C54EF0">
        <w:rPr>
          <w:rFonts w:ascii="Times New Roman" w:hAnsi="Times New Roman" w:cs="Times New Roman"/>
          <w:sz w:val="24"/>
          <w:szCs w:val="24"/>
        </w:rPr>
        <w:lastRenderedPageBreak/>
        <w:t xml:space="preserve">violation of human rights and fundamental </w:t>
      </w:r>
      <w:r w:rsidR="008E23D2" w:rsidRPr="00C54EF0">
        <w:rPr>
          <w:rFonts w:ascii="Times New Roman" w:hAnsi="Times New Roman" w:cs="Times New Roman"/>
          <w:sz w:val="24"/>
          <w:szCs w:val="24"/>
        </w:rPr>
        <w:t>freedoms</w:t>
      </w:r>
      <w:r w:rsidR="008E23D2">
        <w:rPr>
          <w:rFonts w:ascii="Times New Roman" w:hAnsi="Times New Roman" w:cs="Times New Roman"/>
          <w:sz w:val="24"/>
          <w:szCs w:val="24"/>
        </w:rPr>
        <w:t xml:space="preserve"> (</w:t>
      </w:r>
      <w:r w:rsidR="00DB2199">
        <w:rPr>
          <w:rFonts w:ascii="Times New Roman" w:hAnsi="Times New Roman" w:cs="Times New Roman"/>
          <w:sz w:val="24"/>
          <w:szCs w:val="24"/>
        </w:rPr>
        <w:t>Cook</w:t>
      </w:r>
      <w:r w:rsidR="008E23D2">
        <w:rPr>
          <w:rFonts w:ascii="Times New Roman" w:hAnsi="Times New Roman" w:cs="Times New Roman"/>
          <w:sz w:val="24"/>
          <w:szCs w:val="24"/>
        </w:rPr>
        <w:t>, 2011</w:t>
      </w:r>
      <w:r w:rsidR="00DB2199">
        <w:rPr>
          <w:rFonts w:ascii="Times New Roman" w:hAnsi="Times New Roman" w:cs="Times New Roman"/>
          <w:sz w:val="24"/>
          <w:szCs w:val="24"/>
        </w:rPr>
        <w:t>)</w:t>
      </w:r>
      <w:r w:rsidRPr="00C54EF0">
        <w:rPr>
          <w:rFonts w:ascii="Times New Roman" w:hAnsi="Times New Roman" w:cs="Times New Roman"/>
          <w:sz w:val="24"/>
          <w:szCs w:val="24"/>
        </w:rPr>
        <w:t xml:space="preserve">. For instance, marital rape may not be criminalized on the basis that women are stereotyped as the sexual property of men. Additionally, stereotypes on behavior have seen some perpetrators of sexual violence go unpunished. Unfortunately, even the target of some stereotypes has been brainwashed into embracing even the most unflattering stereotypes. </w:t>
      </w:r>
    </w:p>
    <w:p w:rsidR="00C54EF0" w:rsidRPr="00C54EF0"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t>The inspiration to choose gender stereotyping as the topic arises from a recent encounter in a plane with a gay couple.  A gay couple was with their child in the plane and suddenly the child got irritated and started crying out aloud. The flight attended was quick to ask where the mother of the child was. On confirming that they were the parents, the shock recorded on the plane was not just on the face of the attendant but also on many of the other people on board. This was a direct insinuation that every child has to have a mother to be safe and that men can hardly parent a child without a female figure as the primary parent. This arose the thought of how lesbian couples feel in public. It was evident that the couple was very disappointed. These assumptions of heterosexuality linked to parenting showed how society creates preconceptions about some groups exposing them as having some form of inadequacy.</w:t>
      </w:r>
    </w:p>
    <w:p w:rsidR="00C54EF0" w:rsidRPr="00C54EF0"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t>Before investigating the topic, the initial assumption was that only females are victims of gender stereotyping at home and in public. The other assumption was that although gender and sexuality are linked, the society has come of age and can appreciate the difference between the two aspects.  Also, the trends have hardly changed on who benefits on the effects of various stereotypes. Another assumption was that there is hardly a legal provision on matters of stereotypes and stereotyping. Further, gender stereotyping greatly contributes to the stalemate on equity in roles, income gap between men and women, discriminatory legislation and may cause stigma and feelings of inadequacy.</w:t>
      </w:r>
    </w:p>
    <w:p w:rsidR="00C54EF0" w:rsidRPr="00C54EF0"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lastRenderedPageBreak/>
        <w:t xml:space="preserve">There are stereotypes that males are smarter in technical subjects than females. According to </w:t>
      </w:r>
      <w:r w:rsidR="0079278C" w:rsidRPr="00C54EF0">
        <w:rPr>
          <w:rFonts w:ascii="Times New Roman" w:hAnsi="Times New Roman" w:cs="Times New Roman"/>
          <w:sz w:val="24"/>
          <w:szCs w:val="24"/>
        </w:rPr>
        <w:t>Lin (</w:t>
      </w:r>
      <w:r w:rsidRPr="00C54EF0">
        <w:rPr>
          <w:rFonts w:ascii="Times New Roman" w:hAnsi="Times New Roman" w:cs="Times New Roman"/>
          <w:sz w:val="24"/>
          <w:szCs w:val="24"/>
        </w:rPr>
        <w:t xml:space="preserve">1989), gender differences in cognitive and psychosocial tasks are declining and the gap is very small too. Secondly, situational and cultural contexts are key factors contributing to the specificity of gender differences. Thirdly, physical differences, career access, and earning capabilities are more eminent and stable compared to differences in cognitive and psychosocial activities. These facts lead to the conclusion that boys have more access to technical fields even the kind of games they play in </w:t>
      </w:r>
      <w:r w:rsidR="0079278C" w:rsidRPr="00C54EF0">
        <w:rPr>
          <w:rFonts w:ascii="Times New Roman" w:hAnsi="Times New Roman" w:cs="Times New Roman"/>
          <w:sz w:val="24"/>
          <w:szCs w:val="24"/>
        </w:rPr>
        <w:t>childhood (</w:t>
      </w:r>
      <w:r w:rsidRPr="00C54EF0">
        <w:rPr>
          <w:rFonts w:ascii="Times New Roman" w:hAnsi="Times New Roman" w:cs="Times New Roman"/>
          <w:sz w:val="24"/>
          <w:szCs w:val="24"/>
        </w:rPr>
        <w:t>Benbow</w:t>
      </w:r>
      <w:r w:rsidR="0079278C" w:rsidRPr="00C54EF0">
        <w:rPr>
          <w:rFonts w:ascii="Times New Roman" w:hAnsi="Times New Roman" w:cs="Times New Roman"/>
          <w:sz w:val="24"/>
          <w:szCs w:val="24"/>
        </w:rPr>
        <w:t>, 1988</w:t>
      </w:r>
      <w:r w:rsidRPr="00C54EF0">
        <w:rPr>
          <w:rFonts w:ascii="Times New Roman" w:hAnsi="Times New Roman" w:cs="Times New Roman"/>
          <w:sz w:val="24"/>
          <w:szCs w:val="24"/>
        </w:rPr>
        <w:t>). Facts point any existent differences to social engineering and not cognitive abilities. Additionally, research led by Paola Sapienza, a professor at Northwestern University in the USA disputes links of the performance difference in mathematics to intrinsic aptitude capability. Sapienza proves that given the same resources, opportunities and gender equity perception upheld boys and girls are averagely even. This implies that this trend can be deemphasized by redesigning the learning and earning environments to embrace equity. This was a very interesting piece of information since it clarifies that performance in technical subjects is not related to gender but the cognitive abilities of the individual.</w:t>
      </w:r>
    </w:p>
    <w:p w:rsidR="00C54EF0" w:rsidRPr="00C54EF0" w:rsidRDefault="00D6720D" w:rsidP="002E47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 role division, Weaver (2013)</w:t>
      </w:r>
      <w:r w:rsidR="00C54EF0" w:rsidRPr="00C54EF0">
        <w:rPr>
          <w:rFonts w:ascii="Times New Roman" w:hAnsi="Times New Roman" w:cs="Times New Roman"/>
          <w:sz w:val="24"/>
          <w:szCs w:val="24"/>
        </w:rPr>
        <w:t xml:space="preserve"> indicates that despite the changing demographic and lifestyle trends gender constructions and gender stereotyping continue to hound the division of roles. Today many women are educated working in elite professions. However, they split the breadwinning roles despite the initial belief that women are a weaker and dependent gender always in constant need to be provided for. Nonetheless, for women the careers are hardly accommodated in the homemaking and child caregiving due to the limitations by nostalgic family ideals and gender stereotyping. The disturbing part was that to rise on the career ladder, one has to input time and emotional energy on the job which is quite difficult for women but their male counterparts have had an easy time juggling between the home-work </w:t>
      </w:r>
      <w:r w:rsidR="0079278C" w:rsidRPr="00C54EF0">
        <w:rPr>
          <w:rFonts w:ascii="Times New Roman" w:hAnsi="Times New Roman" w:cs="Times New Roman"/>
          <w:sz w:val="24"/>
          <w:szCs w:val="24"/>
        </w:rPr>
        <w:t>balances</w:t>
      </w:r>
      <w:r w:rsidR="00C54EF0" w:rsidRPr="00C54EF0">
        <w:rPr>
          <w:rFonts w:ascii="Times New Roman" w:hAnsi="Times New Roman" w:cs="Times New Roman"/>
          <w:sz w:val="24"/>
          <w:szCs w:val="24"/>
        </w:rPr>
        <w:t xml:space="preserve">. When men become husbands </w:t>
      </w:r>
      <w:r w:rsidR="00C54EF0" w:rsidRPr="00C54EF0">
        <w:rPr>
          <w:rFonts w:ascii="Times New Roman" w:hAnsi="Times New Roman" w:cs="Times New Roman"/>
          <w:sz w:val="24"/>
          <w:szCs w:val="24"/>
        </w:rPr>
        <w:lastRenderedPageBreak/>
        <w:t>and fathers, they receive approval by their colleagues and superiors and are taken more seriously with the perception that they are more deserving of career advancement compared to their female counterparts. Curiously, the opposite applies to married women or mothers, they are seen as heavy-laden by homemaking responsibilities and that these obligations will inevitably intrude on their capability to commit themselves to their demanding careers.</w:t>
      </w:r>
    </w:p>
    <w:p w:rsidR="00C54EF0" w:rsidRPr="00C54EF0" w:rsidRDefault="0079278C"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t>Vinjamuri (</w:t>
      </w:r>
      <w:r w:rsidR="00C54EF0" w:rsidRPr="00C54EF0">
        <w:rPr>
          <w:rFonts w:ascii="Times New Roman" w:hAnsi="Times New Roman" w:cs="Times New Roman"/>
          <w:sz w:val="24"/>
          <w:szCs w:val="24"/>
        </w:rPr>
        <w:t>2015) narrates the predicament of gay adoptive families. The constant need for them to explain details about their families shows that today the stereotype that women are the only capable homemakers does not affect the women but also men. Additionally, the stereotype that women are weaker and need men to defend them and assist in child upbringing has been disparaging and vilipending on lesbian families. The disturbing question is whether the society will ever separate gender from sexuality and stop stereotyping on gender abilities based on heteronormativity</w:t>
      </w:r>
      <w:r w:rsidR="005A5B66">
        <w:rPr>
          <w:rFonts w:ascii="Times New Roman" w:hAnsi="Times New Roman" w:cs="Times New Roman"/>
          <w:sz w:val="24"/>
          <w:szCs w:val="24"/>
        </w:rPr>
        <w:t xml:space="preserve"> (Toomey, 2013)</w:t>
      </w:r>
      <w:r w:rsidR="00C54EF0" w:rsidRPr="00C54EF0">
        <w:rPr>
          <w:rFonts w:ascii="Times New Roman" w:hAnsi="Times New Roman" w:cs="Times New Roman"/>
          <w:sz w:val="24"/>
          <w:szCs w:val="24"/>
        </w:rPr>
        <w:t>.</w:t>
      </w:r>
    </w:p>
    <w:p w:rsidR="00C54EF0" w:rsidRPr="00C54EF0"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t xml:space="preserve">It is notable that the framework of the international human rights law pays attention to only the stereotypes and stereotyping that affect the recognized human rights as well as fundamental freedoms. Often the victims of gender stereotyping have been women. The Committee on the Elimination of Discrimination against Women (CEDAW) states that states need to amend </w:t>
      </w:r>
      <w:r w:rsidR="0079278C" w:rsidRPr="00C54EF0">
        <w:rPr>
          <w:rFonts w:ascii="Times New Roman" w:hAnsi="Times New Roman" w:cs="Times New Roman"/>
          <w:sz w:val="24"/>
          <w:szCs w:val="24"/>
        </w:rPr>
        <w:t>the “</w:t>
      </w:r>
      <w:r w:rsidRPr="00C54EF0">
        <w:rPr>
          <w:rFonts w:ascii="Times New Roman" w:hAnsi="Times New Roman" w:cs="Times New Roman"/>
          <w:sz w:val="24"/>
          <w:szCs w:val="24"/>
        </w:rPr>
        <w:t xml:space="preserve">harmful gender stereotypes" and "eliminate wrongful gender stereotyping". The argument is if a stereotype limits the capability of the gender involved to develop their abilities, pursue their professional careers, and their liberty to choose what is best for them and plan for their lives then it is harmful. </w:t>
      </w:r>
    </w:p>
    <w:p w:rsidR="00C54EF0" w:rsidRPr="00C54EF0" w:rsidRDefault="00C54EF0" w:rsidP="009F3288">
      <w:pPr>
        <w:spacing w:line="480" w:lineRule="auto"/>
        <w:jc w:val="both"/>
        <w:rPr>
          <w:rFonts w:ascii="Times New Roman" w:hAnsi="Times New Roman" w:cs="Times New Roman"/>
          <w:sz w:val="24"/>
          <w:szCs w:val="24"/>
        </w:rPr>
      </w:pPr>
      <w:r w:rsidRPr="00C54EF0">
        <w:rPr>
          <w:rFonts w:ascii="Times New Roman" w:hAnsi="Times New Roman" w:cs="Times New Roman"/>
          <w:sz w:val="24"/>
          <w:szCs w:val="24"/>
        </w:rPr>
        <w:t xml:space="preserve"> </w:t>
      </w:r>
      <w:r w:rsidR="002E472B">
        <w:rPr>
          <w:rFonts w:ascii="Times New Roman" w:hAnsi="Times New Roman" w:cs="Times New Roman"/>
          <w:sz w:val="24"/>
          <w:szCs w:val="24"/>
        </w:rPr>
        <w:tab/>
      </w:r>
      <w:r w:rsidRPr="00C54EF0">
        <w:rPr>
          <w:rFonts w:ascii="Times New Roman" w:hAnsi="Times New Roman" w:cs="Times New Roman"/>
          <w:sz w:val="24"/>
          <w:szCs w:val="24"/>
        </w:rPr>
        <w:t xml:space="preserve">The law has provisions on gender stereotyping and the inequality issues that arise from stereotyping. However, the provisions vary from one country to the other. While some constitutions are favorable others are interesting to think about. The Constitution of Ireland " </w:t>
      </w:r>
      <w:r w:rsidRPr="00C54EF0">
        <w:rPr>
          <w:rFonts w:ascii="Times New Roman" w:hAnsi="Times New Roman" w:cs="Times New Roman"/>
          <w:sz w:val="24"/>
          <w:szCs w:val="24"/>
        </w:rPr>
        <w:lastRenderedPageBreak/>
        <w:t xml:space="preserve">recognizes that by her life within the home, a woman gives to the State a support without which the common good cannot be achieved" and provides that "the State shall…endeavor to ensure that mothers are not obliged by economic necessity to engage in labor to the neglect of their duties in the home."  In some of the Middle East Countries and other Muslim jurisdictions, the testimony of a female plaintiff or witness has to be corroborated by the testimony of man.  These practices and procedures reinforce the stereotypes that women are fickle, capricious, and unreliable and are limiting in every way. In Kenya, a provision meant to be a progressive Sexual Offenses Act, passed in 2006 provides that if a person alleging a sexual offense is proved guilty of having wrongfully accused another person of rape, the complainant is liable to a sentence equal to that of the alleged had he or she been convicted. Although the language is used is gender-sensitive and neutral but records of the parliamentary proceedings and debates before the law was passed reflect multiple assumptions that "women often lie about rape." However, the Supreme Court in the US passed a ruling that unmarried American fathers and mothers will be subject to the same residency requirements to pass on citizenship to their children born abroad, and it is a real step towards eliminating sexism in nationality laws worldwide. The CEDAW provides in Art. 10 that </w:t>
      </w:r>
      <w:r w:rsidR="0079278C" w:rsidRPr="00C54EF0">
        <w:rPr>
          <w:rFonts w:ascii="Times New Roman" w:hAnsi="Times New Roman" w:cs="Times New Roman"/>
          <w:sz w:val="24"/>
          <w:szCs w:val="24"/>
        </w:rPr>
        <w:t>the States</w:t>
      </w:r>
      <w:r w:rsidRPr="00C54EF0">
        <w:rPr>
          <w:rFonts w:ascii="Times New Roman" w:hAnsi="Times New Roman" w:cs="Times New Roman"/>
          <w:sz w:val="24"/>
          <w:szCs w:val="24"/>
        </w:rPr>
        <w:t xml:space="preserve"> are obliged to " ensure, on a basis of equality of men and women the elimination of any stereotyped concept of the roles of men and women at all levels and in all forms of education by encouraging coeducation and other types of education which will help to achieve this aim and, in particular, by the</w:t>
      </w:r>
      <w:r>
        <w:rPr>
          <w:rFonts w:ascii="Times New Roman" w:hAnsi="Times New Roman" w:cs="Times New Roman"/>
          <w:sz w:val="24"/>
          <w:szCs w:val="24"/>
        </w:rPr>
        <w:t xml:space="preserve"> </w:t>
      </w:r>
      <w:r w:rsidRPr="00C54EF0">
        <w:rPr>
          <w:rFonts w:ascii="Times New Roman" w:hAnsi="Times New Roman" w:cs="Times New Roman"/>
          <w:sz w:val="24"/>
          <w:szCs w:val="24"/>
        </w:rPr>
        <w:t>revision of textbooks and school programs and the adaptation of teaching methods"</w:t>
      </w:r>
      <w:r w:rsidR="004D39F9">
        <w:rPr>
          <w:rFonts w:ascii="Times New Roman" w:hAnsi="Times New Roman" w:cs="Times New Roman"/>
          <w:sz w:val="24"/>
          <w:szCs w:val="24"/>
        </w:rPr>
        <w:t>(Cook, 2018)</w:t>
      </w:r>
      <w:r w:rsidRPr="00C54EF0">
        <w:rPr>
          <w:rFonts w:ascii="Times New Roman" w:hAnsi="Times New Roman" w:cs="Times New Roman"/>
          <w:sz w:val="24"/>
          <w:szCs w:val="24"/>
        </w:rPr>
        <w:t>. However, many states have not adapted the stipulations by the committee.</w:t>
      </w:r>
    </w:p>
    <w:p w:rsidR="00C54EF0" w:rsidRDefault="00C54EF0" w:rsidP="002E472B">
      <w:pPr>
        <w:spacing w:line="480" w:lineRule="auto"/>
        <w:ind w:firstLine="720"/>
        <w:jc w:val="both"/>
        <w:rPr>
          <w:rFonts w:ascii="Times New Roman" w:hAnsi="Times New Roman" w:cs="Times New Roman"/>
          <w:sz w:val="24"/>
          <w:szCs w:val="24"/>
        </w:rPr>
      </w:pPr>
      <w:r w:rsidRPr="00C54EF0">
        <w:rPr>
          <w:rFonts w:ascii="Times New Roman" w:hAnsi="Times New Roman" w:cs="Times New Roman"/>
          <w:sz w:val="24"/>
          <w:szCs w:val="24"/>
        </w:rPr>
        <w:t xml:space="preserve">The studies and practices have differentiated the credibility of the assumptions and ruled out some as valid. It is now clear that the legal structure is varied and different countries have different provisions of gender stereotyping. However, it is evident the lawmakers still reinforce </w:t>
      </w:r>
      <w:r w:rsidRPr="00C54EF0">
        <w:rPr>
          <w:rFonts w:ascii="Times New Roman" w:hAnsi="Times New Roman" w:cs="Times New Roman"/>
          <w:sz w:val="24"/>
          <w:szCs w:val="24"/>
        </w:rPr>
        <w:lastRenderedPageBreak/>
        <w:t>some of the gender stereotypes. Additionally, both men and women are victims of gender stereotyping in various ways but the most affected are women.  This furthers the claim that gender stereotyping contributes to the inequities seen in today's world. Further to this study should be a research on women's infantilization resulting from gender stereotyping. And lastly research on the following dilemma: currently gay adoptive families are becoming part of the family structure, they jointly adopt a child, what happens when the two separate, who is legible to be the "mother" of the child especially if the child is still below the legal age?</w:t>
      </w:r>
    </w:p>
    <w:p w:rsidR="002039D2" w:rsidRDefault="002039D2">
      <w:pPr>
        <w:rPr>
          <w:rFonts w:ascii="Times New Roman" w:hAnsi="Times New Roman" w:cs="Times New Roman"/>
          <w:sz w:val="24"/>
          <w:szCs w:val="24"/>
        </w:rPr>
      </w:pPr>
      <w:r>
        <w:rPr>
          <w:rFonts w:ascii="Times New Roman" w:hAnsi="Times New Roman" w:cs="Times New Roman"/>
          <w:sz w:val="24"/>
          <w:szCs w:val="24"/>
        </w:rPr>
        <w:br w:type="page"/>
      </w:r>
    </w:p>
    <w:p w:rsidR="0079278C" w:rsidRDefault="0079278C" w:rsidP="002039D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9278C" w:rsidRDefault="0079278C" w:rsidP="008E23D2">
      <w:pPr>
        <w:spacing w:line="480" w:lineRule="auto"/>
        <w:ind w:left="720" w:hanging="720"/>
        <w:rPr>
          <w:rFonts w:ascii="Times New Roman" w:hAnsi="Times New Roman" w:cs="Times New Roman"/>
          <w:sz w:val="24"/>
          <w:szCs w:val="24"/>
          <w:shd w:val="clear" w:color="auto" w:fill="FFFFFF"/>
        </w:rPr>
      </w:pPr>
      <w:r w:rsidRPr="00D85BBF">
        <w:rPr>
          <w:rFonts w:ascii="Times New Roman" w:hAnsi="Times New Roman" w:cs="Times New Roman"/>
          <w:sz w:val="24"/>
          <w:szCs w:val="24"/>
          <w:shd w:val="clear" w:color="auto" w:fill="FFFFFF"/>
        </w:rPr>
        <w:t>Vinjamuri, M. (2015). Reminders of heteronormativity: Gay adoptive fathers navigating uninvited social interactions. </w:t>
      </w:r>
      <w:r w:rsidRPr="00D85BBF">
        <w:rPr>
          <w:rFonts w:ascii="Times New Roman" w:hAnsi="Times New Roman" w:cs="Times New Roman"/>
          <w:i/>
          <w:iCs/>
          <w:sz w:val="24"/>
          <w:szCs w:val="24"/>
          <w:shd w:val="clear" w:color="auto" w:fill="FFFFFF"/>
        </w:rPr>
        <w:t>Family Relations</w:t>
      </w:r>
      <w:r w:rsidRPr="00D85BBF">
        <w:rPr>
          <w:rFonts w:ascii="Times New Roman" w:hAnsi="Times New Roman" w:cs="Times New Roman"/>
          <w:sz w:val="24"/>
          <w:szCs w:val="24"/>
          <w:shd w:val="clear" w:color="auto" w:fill="FFFFFF"/>
        </w:rPr>
        <w:t>, </w:t>
      </w:r>
      <w:r w:rsidRPr="00D85BBF">
        <w:rPr>
          <w:rFonts w:ascii="Times New Roman" w:hAnsi="Times New Roman" w:cs="Times New Roman"/>
          <w:i/>
          <w:iCs/>
          <w:sz w:val="24"/>
          <w:szCs w:val="24"/>
          <w:shd w:val="clear" w:color="auto" w:fill="FFFFFF"/>
        </w:rPr>
        <w:t>64</w:t>
      </w:r>
      <w:r w:rsidRPr="00D85BBF">
        <w:rPr>
          <w:rFonts w:ascii="Times New Roman" w:hAnsi="Times New Roman" w:cs="Times New Roman"/>
          <w:sz w:val="24"/>
          <w:szCs w:val="24"/>
          <w:shd w:val="clear" w:color="auto" w:fill="FFFFFF"/>
        </w:rPr>
        <w:t>(2), 263-277.</w:t>
      </w:r>
    </w:p>
    <w:p w:rsidR="002039D2" w:rsidRPr="002039D2" w:rsidRDefault="002039D2" w:rsidP="008E23D2">
      <w:pPr>
        <w:spacing w:line="480" w:lineRule="auto"/>
        <w:ind w:left="720" w:hanging="720"/>
        <w:rPr>
          <w:rFonts w:ascii="Times New Roman" w:hAnsi="Times New Roman" w:cs="Times New Roman"/>
          <w:sz w:val="24"/>
          <w:szCs w:val="24"/>
          <w:shd w:val="clear" w:color="auto" w:fill="FFFFFF"/>
        </w:rPr>
      </w:pPr>
      <w:r w:rsidRPr="002039D2">
        <w:rPr>
          <w:rFonts w:ascii="Times New Roman" w:hAnsi="Times New Roman" w:cs="Times New Roman"/>
          <w:sz w:val="24"/>
          <w:szCs w:val="24"/>
          <w:shd w:val="clear" w:color="auto" w:fill="FFFFFF"/>
        </w:rPr>
        <w:t>Benbow, C. P. (1988). Sex differences in mathematical reasoning ability in intellectually talented preadolescents: Their nature, effects, and possible causes. Behavioral and Brain sciences, 11(2), 169-183.</w:t>
      </w:r>
    </w:p>
    <w:p w:rsidR="002039D2" w:rsidRPr="002039D2" w:rsidRDefault="002039D2" w:rsidP="008E23D2">
      <w:pPr>
        <w:spacing w:line="480" w:lineRule="auto"/>
        <w:ind w:left="720" w:hanging="720"/>
        <w:rPr>
          <w:rFonts w:ascii="Times New Roman" w:hAnsi="Times New Roman" w:cs="Times New Roman"/>
          <w:sz w:val="24"/>
          <w:szCs w:val="24"/>
          <w:shd w:val="clear" w:color="auto" w:fill="FFFFFF"/>
        </w:rPr>
      </w:pPr>
      <w:r w:rsidRPr="002039D2">
        <w:rPr>
          <w:rFonts w:ascii="Times New Roman" w:hAnsi="Times New Roman" w:cs="Times New Roman"/>
          <w:sz w:val="24"/>
          <w:szCs w:val="24"/>
          <w:shd w:val="clear" w:color="auto" w:fill="FFFFFF"/>
        </w:rPr>
        <w:t>Lindberg, S. M., Hyde, J. S., Petersen, J. L., &amp; Linn, M. C. (2010). New trends in gender and mathematics performance: a meta-analysis. Psychological bulletin, 136(6), 1123.</w:t>
      </w:r>
    </w:p>
    <w:p w:rsidR="002039D2" w:rsidRDefault="002039D2" w:rsidP="008E23D2">
      <w:pPr>
        <w:spacing w:line="480" w:lineRule="auto"/>
        <w:ind w:left="720" w:hanging="720"/>
        <w:rPr>
          <w:rFonts w:ascii="Times New Roman" w:hAnsi="Times New Roman" w:cs="Times New Roman"/>
          <w:sz w:val="24"/>
          <w:szCs w:val="24"/>
          <w:shd w:val="clear" w:color="auto" w:fill="FFFFFF"/>
        </w:rPr>
      </w:pPr>
      <w:r w:rsidRPr="002039D2">
        <w:rPr>
          <w:rFonts w:ascii="Times New Roman" w:hAnsi="Times New Roman" w:cs="Times New Roman"/>
          <w:sz w:val="24"/>
          <w:szCs w:val="24"/>
          <w:shd w:val="clear" w:color="auto" w:fill="FFFFFF"/>
        </w:rPr>
        <w:t>Nollenberger, N., Rodríguez-Planas, N., &amp; Sevilla, A. (2016). The math gender gap: The role of culture. American Economic Review, 106(5), 257-61.</w:t>
      </w:r>
    </w:p>
    <w:p w:rsidR="00D6720D" w:rsidRDefault="00D6720D" w:rsidP="008E23D2">
      <w:pPr>
        <w:spacing w:line="480" w:lineRule="auto"/>
        <w:ind w:left="720" w:hanging="720"/>
        <w:rPr>
          <w:rFonts w:ascii="Times New Roman" w:hAnsi="Times New Roman" w:cs="Times New Roman"/>
          <w:sz w:val="24"/>
          <w:szCs w:val="24"/>
          <w:shd w:val="clear" w:color="auto" w:fill="FFFFFF"/>
        </w:rPr>
      </w:pPr>
      <w:r w:rsidRPr="00D6720D">
        <w:rPr>
          <w:rFonts w:ascii="Times New Roman" w:hAnsi="Times New Roman" w:cs="Times New Roman"/>
          <w:sz w:val="24"/>
          <w:szCs w:val="24"/>
          <w:shd w:val="clear" w:color="auto" w:fill="FFFFFF"/>
        </w:rPr>
        <w:t>Weaver, V., Hacker, J. S., &amp; Wildeman, C. (Eds.). (2013). The ANNALS of the American Academy of Political &amp; Social Science (Vol. 651). SAGE.</w:t>
      </w:r>
    </w:p>
    <w:p w:rsidR="00DB2199" w:rsidRDefault="00DB2199" w:rsidP="008E23D2">
      <w:pPr>
        <w:spacing w:line="480" w:lineRule="auto"/>
        <w:ind w:left="720" w:hanging="720"/>
        <w:rPr>
          <w:rFonts w:ascii="Times New Roman" w:hAnsi="Times New Roman" w:cs="Times New Roman"/>
          <w:sz w:val="24"/>
          <w:szCs w:val="24"/>
          <w:shd w:val="clear" w:color="auto" w:fill="FFFFFF"/>
        </w:rPr>
      </w:pPr>
      <w:r w:rsidRPr="00DB2199">
        <w:rPr>
          <w:rFonts w:ascii="Times New Roman" w:hAnsi="Times New Roman" w:cs="Times New Roman"/>
          <w:sz w:val="24"/>
          <w:szCs w:val="24"/>
          <w:shd w:val="clear" w:color="auto" w:fill="FFFFFF"/>
        </w:rPr>
        <w:t>Cook, R. J., &amp; Cusack, S. (2018). The Committee on the Elimination of Discrimination against Wome</w:t>
      </w:r>
      <w:r>
        <w:rPr>
          <w:rFonts w:ascii="Times New Roman" w:hAnsi="Times New Roman" w:cs="Times New Roman"/>
          <w:sz w:val="24"/>
          <w:szCs w:val="24"/>
          <w:shd w:val="clear" w:color="auto" w:fill="FFFFFF"/>
        </w:rPr>
        <w:t>n. Edward Elgar Publishing Ltd.</w:t>
      </w:r>
    </w:p>
    <w:p w:rsidR="00DB2199" w:rsidRDefault="00DB2199" w:rsidP="008E23D2">
      <w:pPr>
        <w:spacing w:line="480" w:lineRule="auto"/>
        <w:ind w:left="720" w:hanging="720"/>
        <w:rPr>
          <w:rFonts w:ascii="Times New Roman" w:hAnsi="Times New Roman" w:cs="Times New Roman"/>
          <w:sz w:val="24"/>
          <w:szCs w:val="24"/>
          <w:shd w:val="clear" w:color="auto" w:fill="FFFFFF"/>
        </w:rPr>
      </w:pPr>
      <w:r w:rsidRPr="00DB2199">
        <w:rPr>
          <w:rFonts w:ascii="Times New Roman" w:hAnsi="Times New Roman" w:cs="Times New Roman"/>
          <w:sz w:val="24"/>
          <w:szCs w:val="24"/>
          <w:shd w:val="clear" w:color="auto" w:fill="FFFFFF"/>
        </w:rPr>
        <w:t>Cook, R., &amp; Cusack, S. (2011). Gender stereotyping: transnational legal perspectives. University of Pennsylvania Press.</w:t>
      </w:r>
    </w:p>
    <w:p w:rsidR="005A5B66" w:rsidRDefault="005A5B66" w:rsidP="008E23D2">
      <w:pPr>
        <w:spacing w:line="480" w:lineRule="auto"/>
        <w:ind w:left="720" w:hanging="720"/>
        <w:rPr>
          <w:rFonts w:ascii="Times New Roman" w:hAnsi="Times New Roman" w:cs="Times New Roman"/>
          <w:sz w:val="24"/>
          <w:szCs w:val="24"/>
          <w:shd w:val="clear" w:color="auto" w:fill="FFFFFF"/>
        </w:rPr>
      </w:pPr>
      <w:r w:rsidRPr="005A5B66">
        <w:rPr>
          <w:rFonts w:ascii="Times New Roman" w:hAnsi="Times New Roman" w:cs="Times New Roman"/>
          <w:sz w:val="24"/>
          <w:szCs w:val="24"/>
          <w:shd w:val="clear" w:color="auto" w:fill="FFFFFF"/>
        </w:rPr>
        <w:t>Toomey, R. B., Ryan, C., Diaz, R. M., Card, N. A., &amp; Russell, S. T. (2013). Gender-nonconforming lesbian, gay, bisexual, and transge</w:t>
      </w:r>
      <w:bookmarkStart w:id="0" w:name="_GoBack"/>
      <w:bookmarkEnd w:id="0"/>
      <w:r w:rsidRPr="005A5B66">
        <w:rPr>
          <w:rFonts w:ascii="Times New Roman" w:hAnsi="Times New Roman" w:cs="Times New Roman"/>
          <w:sz w:val="24"/>
          <w:szCs w:val="24"/>
          <w:shd w:val="clear" w:color="auto" w:fill="FFFFFF"/>
        </w:rPr>
        <w:t>nder youth: school victimization and young adult psychosocial adjustment.</w:t>
      </w:r>
    </w:p>
    <w:p w:rsidR="00DB2199" w:rsidRDefault="00DB2199" w:rsidP="002039D2">
      <w:pPr>
        <w:spacing w:line="480" w:lineRule="auto"/>
        <w:ind w:left="720" w:hanging="720"/>
        <w:rPr>
          <w:rFonts w:ascii="Times New Roman" w:hAnsi="Times New Roman" w:cs="Times New Roman"/>
          <w:sz w:val="24"/>
          <w:szCs w:val="24"/>
          <w:shd w:val="clear" w:color="auto" w:fill="FFFFFF"/>
        </w:rPr>
      </w:pPr>
    </w:p>
    <w:p w:rsidR="0079278C" w:rsidRPr="00D85BBF" w:rsidRDefault="0079278C" w:rsidP="0079278C">
      <w:pPr>
        <w:spacing w:line="480" w:lineRule="auto"/>
        <w:ind w:left="720" w:hanging="720"/>
        <w:rPr>
          <w:rFonts w:ascii="Times New Roman" w:hAnsi="Times New Roman" w:cs="Times New Roman"/>
          <w:sz w:val="24"/>
          <w:szCs w:val="24"/>
          <w:shd w:val="clear" w:color="auto" w:fill="FFFFFF"/>
        </w:rPr>
      </w:pPr>
    </w:p>
    <w:p w:rsidR="0079278C" w:rsidRDefault="0079278C" w:rsidP="002E472B">
      <w:pPr>
        <w:spacing w:line="480" w:lineRule="auto"/>
        <w:ind w:firstLine="720"/>
        <w:jc w:val="both"/>
        <w:rPr>
          <w:rFonts w:ascii="Times New Roman" w:hAnsi="Times New Roman" w:cs="Times New Roman"/>
          <w:sz w:val="24"/>
          <w:szCs w:val="24"/>
        </w:rPr>
      </w:pPr>
    </w:p>
    <w:p w:rsidR="0079278C" w:rsidRPr="00C54EF0" w:rsidRDefault="0079278C" w:rsidP="002E472B">
      <w:pPr>
        <w:spacing w:line="480" w:lineRule="auto"/>
        <w:ind w:firstLine="720"/>
        <w:jc w:val="both"/>
        <w:rPr>
          <w:rFonts w:ascii="Times New Roman" w:hAnsi="Times New Roman" w:cs="Times New Roman"/>
          <w:sz w:val="24"/>
          <w:szCs w:val="24"/>
        </w:rPr>
      </w:pPr>
    </w:p>
    <w:p w:rsidR="00C54EF0" w:rsidRPr="00C54EF0" w:rsidRDefault="00C54EF0" w:rsidP="009F3288">
      <w:pPr>
        <w:spacing w:line="480" w:lineRule="auto"/>
        <w:jc w:val="both"/>
        <w:rPr>
          <w:rFonts w:ascii="Times New Roman" w:hAnsi="Times New Roman" w:cs="Times New Roman"/>
          <w:sz w:val="24"/>
          <w:szCs w:val="24"/>
        </w:rPr>
      </w:pPr>
    </w:p>
    <w:p w:rsidR="00636FB8" w:rsidRPr="00C54EF0" w:rsidRDefault="00636FB8" w:rsidP="009F3288">
      <w:pPr>
        <w:spacing w:line="480" w:lineRule="auto"/>
        <w:jc w:val="both"/>
      </w:pPr>
    </w:p>
    <w:sectPr w:rsidR="00636FB8" w:rsidRPr="00C54EF0" w:rsidSect="009F32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147" w:rsidRDefault="001D5147" w:rsidP="009F3288">
      <w:pPr>
        <w:spacing w:after="0" w:line="240" w:lineRule="auto"/>
      </w:pPr>
      <w:r>
        <w:separator/>
      </w:r>
    </w:p>
  </w:endnote>
  <w:endnote w:type="continuationSeparator" w:id="0">
    <w:p w:rsidR="001D5147" w:rsidRDefault="001D5147" w:rsidP="009F3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147" w:rsidRDefault="001D5147" w:rsidP="009F3288">
      <w:pPr>
        <w:spacing w:after="0" w:line="240" w:lineRule="auto"/>
      </w:pPr>
      <w:r>
        <w:separator/>
      </w:r>
    </w:p>
  </w:footnote>
  <w:footnote w:type="continuationSeparator" w:id="0">
    <w:p w:rsidR="001D5147" w:rsidRDefault="001D5147" w:rsidP="009F3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859469"/>
      <w:docPartObj>
        <w:docPartGallery w:val="Page Numbers (Top of Page)"/>
        <w:docPartUnique/>
      </w:docPartObj>
    </w:sdtPr>
    <w:sdtEndPr>
      <w:rPr>
        <w:noProof/>
      </w:rPr>
    </w:sdtEndPr>
    <w:sdtContent>
      <w:p w:rsidR="009F3288" w:rsidRDefault="009F3288">
        <w:pPr>
          <w:pStyle w:val="Header"/>
          <w:jc w:val="right"/>
        </w:pPr>
        <w:r w:rsidRPr="009F3288">
          <w:rPr>
            <w:rFonts w:ascii="Times New Roman" w:hAnsi="Times New Roman" w:cs="Times New Roman"/>
            <w:sz w:val="24"/>
            <w:szCs w:val="24"/>
          </w:rPr>
          <w:t>SOCIETY</w:t>
        </w:r>
        <w:r>
          <w:t xml:space="preserve">                                                                                                                                                                     </w:t>
        </w:r>
        <w:r>
          <w:fldChar w:fldCharType="begin"/>
        </w:r>
        <w:r>
          <w:instrText xml:space="preserve"> PAGE   \* MERGEFORMAT </w:instrText>
        </w:r>
        <w:r>
          <w:fldChar w:fldCharType="separate"/>
        </w:r>
        <w:r w:rsidR="008E23D2">
          <w:rPr>
            <w:noProof/>
          </w:rPr>
          <w:t>9</w:t>
        </w:r>
        <w:r>
          <w:rPr>
            <w:noProof/>
          </w:rPr>
          <w:fldChar w:fldCharType="end"/>
        </w:r>
      </w:p>
    </w:sdtContent>
  </w:sdt>
  <w:p w:rsidR="009F3288" w:rsidRDefault="009F32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72B" w:rsidRPr="002E472B" w:rsidRDefault="002E472B">
    <w:pPr>
      <w:pStyle w:val="Header"/>
      <w:rPr>
        <w:rFonts w:ascii="Times New Roman" w:hAnsi="Times New Roman" w:cs="Times New Roman"/>
        <w:sz w:val="24"/>
        <w:szCs w:val="24"/>
      </w:rPr>
    </w:pPr>
    <w:r w:rsidRPr="002E472B">
      <w:rPr>
        <w:rFonts w:ascii="Times New Roman" w:hAnsi="Times New Roman" w:cs="Times New Roman"/>
        <w:sz w:val="24"/>
        <w:szCs w:val="24"/>
      </w:rPr>
      <w:t>Running head</w:t>
    </w:r>
    <w:r>
      <w:rPr>
        <w:rFonts w:ascii="Times New Roman" w:hAnsi="Times New Roman" w:cs="Times New Roman"/>
        <w:sz w:val="24"/>
        <w:szCs w:val="24"/>
      </w:rPr>
      <w:t xml:space="preserve">: STEREOTYPES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Q0NDQwMzI1sTQ0NTJX0lEKTi0uzszPAykwrAUA2tCz3ywAAAA="/>
  </w:docVars>
  <w:rsids>
    <w:rsidRoot w:val="00337543"/>
    <w:rsid w:val="00001346"/>
    <w:rsid w:val="00137C2D"/>
    <w:rsid w:val="001D5147"/>
    <w:rsid w:val="002039D2"/>
    <w:rsid w:val="002303E8"/>
    <w:rsid w:val="002E472B"/>
    <w:rsid w:val="00315F42"/>
    <w:rsid w:val="00337543"/>
    <w:rsid w:val="00362FA5"/>
    <w:rsid w:val="004D39F9"/>
    <w:rsid w:val="004E04A8"/>
    <w:rsid w:val="004E4D55"/>
    <w:rsid w:val="005241BE"/>
    <w:rsid w:val="005A5B66"/>
    <w:rsid w:val="005D4216"/>
    <w:rsid w:val="00636FB8"/>
    <w:rsid w:val="00667F25"/>
    <w:rsid w:val="00674A35"/>
    <w:rsid w:val="006D2028"/>
    <w:rsid w:val="006F392C"/>
    <w:rsid w:val="00710576"/>
    <w:rsid w:val="0074053A"/>
    <w:rsid w:val="0079278C"/>
    <w:rsid w:val="0080415A"/>
    <w:rsid w:val="00814B3E"/>
    <w:rsid w:val="00833575"/>
    <w:rsid w:val="008E23D2"/>
    <w:rsid w:val="009F3288"/>
    <w:rsid w:val="00AF41A2"/>
    <w:rsid w:val="00B04656"/>
    <w:rsid w:val="00BD4618"/>
    <w:rsid w:val="00BE3A88"/>
    <w:rsid w:val="00C215C3"/>
    <w:rsid w:val="00C31D6E"/>
    <w:rsid w:val="00C54EF0"/>
    <w:rsid w:val="00CC721F"/>
    <w:rsid w:val="00D6720D"/>
    <w:rsid w:val="00DB2199"/>
    <w:rsid w:val="00F26776"/>
    <w:rsid w:val="00F46067"/>
    <w:rsid w:val="00FA7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CDD45-91BF-40B3-B587-EF15D6C6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288"/>
  </w:style>
  <w:style w:type="paragraph" w:styleId="Footer">
    <w:name w:val="footer"/>
    <w:basedOn w:val="Normal"/>
    <w:link w:val="FooterChar"/>
    <w:uiPriority w:val="99"/>
    <w:unhideWhenUsed/>
    <w:rsid w:val="009F3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630</TotalTime>
  <Pages>9</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22</cp:revision>
  <dcterms:created xsi:type="dcterms:W3CDTF">2020-08-14T20:37:00Z</dcterms:created>
  <dcterms:modified xsi:type="dcterms:W3CDTF">2020-08-15T09:19:00Z</dcterms:modified>
</cp:coreProperties>
</file>