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Glossip vs. Gross and Hurst vs. Florida</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b/>
          <w:iCs/>
          <w:sz w:val="24"/>
          <w:szCs w:val="24"/>
        </w:rPr>
      </w:pPr>
    </w:p>
    <w:p>
      <w:pPr>
        <w:pStyle w:val="style0"/>
        <w:spacing w:after="0" w:lineRule="auto" w:line="480"/>
        <w:rPr>
          <w:rFonts w:ascii="Times New Roman" w:cs="Times New Roman" w:hAnsi="Times New Roman"/>
          <w:b/>
          <w:iCs/>
          <w:sz w:val="24"/>
          <w:szCs w:val="24"/>
        </w:rPr>
      </w:pPr>
    </w:p>
    <w:p>
      <w:pPr>
        <w:pStyle w:val="style0"/>
        <w:spacing w:after="0" w:lineRule="auto" w:line="480"/>
        <w:rPr>
          <w:rFonts w:ascii="Times New Roman" w:cs="Times New Roman" w:hAnsi="Times New Roman"/>
          <w:b/>
          <w:iCs/>
          <w:sz w:val="24"/>
          <w:szCs w:val="24"/>
        </w:rPr>
      </w:pPr>
    </w:p>
    <w:p>
      <w:pPr>
        <w:pStyle w:val="style0"/>
        <w:spacing w:after="0" w:lineRule="auto" w:line="480"/>
        <w:rPr>
          <w:rFonts w:ascii="Times New Roman" w:cs="Times New Roman" w:hAnsi="Times New Roman"/>
          <w:b/>
          <w:iCs/>
          <w:sz w:val="24"/>
          <w:szCs w:val="24"/>
        </w:rPr>
      </w:pPr>
    </w:p>
    <w:p>
      <w:pPr>
        <w:pStyle w:val="style0"/>
        <w:spacing w:after="0" w:lineRule="auto" w:line="480"/>
        <w:rPr>
          <w:rFonts w:ascii="Times New Roman" w:cs="Times New Roman" w:hAnsi="Times New Roman"/>
          <w:b/>
          <w:iCs/>
          <w:sz w:val="24"/>
          <w:szCs w:val="24"/>
        </w:rPr>
      </w:pPr>
    </w:p>
    <w:p>
      <w:pPr>
        <w:pStyle w:val="style0"/>
        <w:spacing w:after="0" w:lineRule="auto" w:line="480"/>
        <w:rPr>
          <w:rFonts w:ascii="Times New Roman" w:cs="Times New Roman" w:hAnsi="Times New Roman"/>
          <w:b/>
          <w:iCs/>
          <w:sz w:val="24"/>
          <w:szCs w:val="24"/>
        </w:rPr>
      </w:pPr>
    </w:p>
    <w:p>
      <w:pPr>
        <w:pStyle w:val="style0"/>
        <w:spacing w:after="0" w:lineRule="auto" w:line="480"/>
        <w:rPr>
          <w:rFonts w:ascii="Times New Roman" w:cs="Times New Roman" w:hAnsi="Times New Roman"/>
          <w:b/>
          <w:iCs/>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 xml:space="preserve">Introduction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Glossip v. Gross and Hurst v. Florida are important court hearings that help shed light into the issue of death penalty in USA.  </w:t>
      </w:r>
      <w:r>
        <w:rPr>
          <w:rFonts w:ascii="Times New Roman" w:cs="Times New Roman" w:hAnsi="Times New Roman"/>
          <w:iCs/>
          <w:sz w:val="24"/>
          <w:szCs w:val="24"/>
        </w:rPr>
        <w:t xml:space="preserve">In Glossip v. Gross case, the United States Supreme Court held that lethal injections using midazolam to execute prisoners imprisoned for capital crimes do not constitute cruel and unusual punishment under the Eighth Amendment to the U.S. Constitution. The court argued that prisoners can only challenge the method of using midazolam to execute prisoners after providing a known and available alternative method. In Hurst v. Florida case, the Supreme Court held that the Sixth Amendment requires a jury to find factors necessary for exercising a death penalty. </w:t>
      </w:r>
      <w:r>
        <w:rPr>
          <w:rFonts w:ascii="Times New Roman" w:cs="Times New Roman" w:hAnsi="Times New Roman"/>
          <w:sz w:val="24"/>
          <w:szCs w:val="24"/>
        </w:rPr>
        <w:t>In this paper, I will discuss about two theories of law and how best they explain the arguments adopted by the court in its majority opinion. I will describe how one theory better explains the opinions handed down in one case and the other theory better explains the opinions handed down in the second case. In specific, the realist theory of law and positive theory of law are applicable to Glossip v. Gross and Hurst v. Florida cases.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Theories that the Case Argument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realist </w:t>
      </w:r>
      <w:r>
        <w:rPr>
          <w:rFonts w:ascii="Times New Roman" w:cs="Times New Roman" w:hAnsi="Times New Roman"/>
          <w:sz w:val="24"/>
          <w:szCs w:val="24"/>
        </w:rPr>
        <w:t>theory of law and positive theory of law are applicable in describing the death penalty cases related to Glossip v. Gross and Hurst v. Florida. Realist theory of law refers to a law that is concerned with the actual working of the law and not its traditional interpretations (</w:t>
      </w:r>
      <w:r>
        <w:rPr>
          <w:rFonts w:ascii="Times New Roman" w:cs="Times New Roman" w:hAnsi="Times New Roman"/>
          <w:bCs/>
          <w:sz w:val="24"/>
          <w:szCs w:val="24"/>
        </w:rPr>
        <w:t>Guyer, 2016)</w:t>
      </w:r>
      <w:r>
        <w:rPr>
          <w:rFonts w:ascii="Times New Roman" w:cs="Times New Roman" w:hAnsi="Times New Roman"/>
          <w:sz w:val="24"/>
          <w:szCs w:val="24"/>
        </w:rPr>
        <w:t xml:space="preserve">. The theory argues that law is what the judge decided in a court of law. Therefore, according to this theory, it is the ruling of the judge and not the legislators that is considered as law. Hence, the theory believes that the judge is the lawmaker and not the legislative body. The theory aligns with the common legal system in which a previous ruling by the court can be used </w:t>
      </w:r>
      <w:r>
        <w:rPr>
          <w:rFonts w:ascii="Times New Roman" w:cs="Times New Roman" w:hAnsi="Times New Roman"/>
          <w:sz w:val="24"/>
          <w:szCs w:val="24"/>
        </w:rPr>
        <w:t xml:space="preserve">as a law to decide on future similar cases. Therefore, the court can refer to other similar cases ruled upon previously to make a judgment a current or future case.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Positive law theory is also referred to as imperative or analysts law theory. This theory argues that a sovereign body of a government is responsible for making laws and therefore, there is no need to use reason, morality, or justice to determine the validity of law (</w:t>
      </w:r>
      <w:r>
        <w:rPr>
          <w:rFonts w:ascii="Times New Roman" w:cs="Times New Roman" w:hAnsi="Times New Roman"/>
          <w:bCs/>
          <w:sz w:val="24"/>
          <w:szCs w:val="24"/>
        </w:rPr>
        <w:t>Jacobs, 2004)</w:t>
      </w:r>
      <w:r>
        <w:rPr>
          <w:rFonts w:ascii="Times New Roman" w:cs="Times New Roman" w:hAnsi="Times New Roman"/>
          <w:sz w:val="24"/>
          <w:szCs w:val="24"/>
        </w:rPr>
        <w:t xml:space="preserve">. According to the theory, rules made by the sovereign body of the government are laws irrespective of other considerations. The laws, therefore, are subject to variation in time and place. The theory believes that a law is a command of the sovereign to his/her subjects and there are three elements in it: command, sovereign, and sanction. Command is the rule made for subjects under the sovereign. Sovereign is the person or group of people demanding obedience in government. Sanction is the evil associated with subjects violating laws. The sovereign body is responsible for making laws that subjects must follow and obey.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Realist theory of law aligns with the merits and the opinions presented in Glossip v. Gross case. In this case, Chief Justice Samuel Alito read the opinion of the court. According to the court, the Eighth Amendment requires inmates to convince the court that there is an available alternative method of execution. The inmates had failed to convince the court regarding this, the court argued, because the alternative drugs to midazolam they had proposed were not available in Oklahoma. The court also argued that Hill v. McDonough case was not applicable to the case at hand. Secondly, the court argued that the Eighth Amendment requires inmates to show the use of midazolam drug in the execution of inmates demonstrated risk of severe pain. Even though the Food and Drug Administration does not recommend the use of this drug, the court argued that the method of execution was in the Constitution and therefore did not have to meet the medical standard care.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Also, the court valued the testimony of Dr. Roswell Lee Evans, and expert called during the hearing of the case, that it is certain inmates won’t feel pain during injection. And therefore, the testimony made the court refute the prisoner’s claim that midazolam drug had a ceiling effect. The merit and opinions provided in this case align with the beliefs highlighted in realist theory of law. First, the judge utilized the provisions of the American constitution regarding the case of death penalty. In this manner, the judges were interested in the actual working of the law and not other interpretations provided by the prisoners while defending their innocence. The judge’s decision of this matter at hand was the law as envisaged in the American Constitution. Second, the court argued that Hill v. McDonough case of 2006 was not applicable to this case. Judges utilize decisions previously given by a court in making a ruling in future similar case (</w:t>
      </w:r>
      <w:r>
        <w:rPr>
          <w:rFonts w:ascii="Times New Roman" w:cs="Times New Roman" w:hAnsi="Times New Roman"/>
          <w:iCs/>
          <w:sz w:val="24"/>
          <w:szCs w:val="24"/>
        </w:rPr>
        <w:t>Malec, 2015)</w:t>
      </w:r>
      <w:r>
        <w:rPr>
          <w:rFonts w:ascii="Times New Roman" w:cs="Times New Roman" w:hAnsi="Times New Roman"/>
          <w:sz w:val="24"/>
          <w:szCs w:val="24"/>
        </w:rPr>
        <w:t xml:space="preserve">. They use previous decisions as the law in deciding future similar case. And this aligns with the beliefs of realist theory of law, which has its basis in the common legal system. This system applies the principle that the decision previously given by a court is considered to be used as a law to decide future similar case.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 the other hand, positive law theory aligns with the merits and the opinions presented in Hurst v. Florida case. In this case, the Supreme Court had to make a decision on whether Florida’s death sentencing scheme violated the provisions in the Sixth or Eighth Amendment in light of the court’s 2002 decision in Ring v. Arizona. In Hurst v. Florida case, a single judge-Justice Sonia Sotomayor, wrote the majority opinion of the court. Florida’s capital sentencing scheme, which advocated for a judge and not a jury to make the crucial findings to be utilized in imposing the death penalty, violated the Sixth Amendment in light of Ring v. Arizona. The Court also ruled away Florida’s counterarguments. First, Florida argued that the jury’s arguments violated Ring because the jury’s role was advisory only. Secondly, although the court had occasionally </w:t>
      </w:r>
      <w:r>
        <w:rPr>
          <w:rFonts w:ascii="Times New Roman" w:cs="Times New Roman" w:hAnsi="Times New Roman"/>
          <w:sz w:val="24"/>
          <w:szCs w:val="24"/>
        </w:rPr>
        <w:t xml:space="preserve">respected the use of Florida’s capital sentencing scheme in the past, it did not imply that the case at hand compelled the court to act in the same manner again. Instead, time and other cases had erased the logic of Spaziano and Hildwin. Justice Sotomayor’s opinion for the court affirmed the importance of the right to an impartial jury and made clear that a state cannot impose a death sentence without a jury making the factual findings required by law.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case aligns with the beliefs of the positive theory of law. A sovereign body is responsible for making and enforcing laws which subjects must follow and obey. Hurst v. Florida case affirms the responsibility of the jury, which is a sovereign body of the state, in coming up with rules that govern the court. Therefore, in this case it means that the state cannot impose a death sentence without a jury making the factual findings required by law (</w:t>
      </w:r>
      <w:r>
        <w:rPr>
          <w:rFonts w:ascii="Times New Roman" w:cs="Times New Roman" w:hAnsi="Times New Roman"/>
          <w:iCs/>
          <w:sz w:val="24"/>
          <w:szCs w:val="24"/>
        </w:rPr>
        <w:t>Wermer, 2016)</w:t>
      </w:r>
      <w:r>
        <w:rPr>
          <w:rFonts w:ascii="Times New Roman" w:cs="Times New Roman" w:hAnsi="Times New Roman"/>
          <w:sz w:val="24"/>
          <w:szCs w:val="24"/>
        </w:rPr>
        <w:t xml:space="preserve">. Moreover, the court also argued that even though the court had sometimes upheld Florida’s capital sentencing scheme in the past, time and subsequent cases did not apply to the case at hand. This argument by the court aligns with positive law theory beliefs that laws vary from place to place and from time to time. And therefore the court was not compelled to uphold Florida’s Capital sentencing this time round because things had changed over time.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Conclusion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opinions and merits from Glossip v. Gross and Hurst v. Florida cases are subject to discussion in light of the theories of law. Apart from this, the cases also present an understanding of the issue of death penalty in different states across America. Positive theory of law and realist theory of law apply to the findings and merits presented in Glossip v. Gross and Hurst v. Florida. Positive theory of law has the belief that a sovereign body of the state is responsible for making and enforcing law. Rules made by the sovereign body are laws irrespective of other </w:t>
      </w:r>
      <w:r>
        <w:rPr>
          <w:rFonts w:ascii="Times New Roman" w:cs="Times New Roman" w:hAnsi="Times New Roman"/>
          <w:sz w:val="24"/>
          <w:szCs w:val="24"/>
        </w:rPr>
        <w:t>considerations. It applies to the opinions of the court in Hurst v. Florida case. This is in the view of the court decision that time had made Florida’s arguments irrelevant. This is in line with positive law theory belief that laws are subject to change from place to place and time to time. On the other hand, realist theory has the belief that law is what a judge decided in court. It is also practical in the common law legal system in which a judge has the authority to use previous rulings in making future rulings on a similar case. This theory aligns with Glossip v. Gross case in that the court made a reference to other cases to make a ruling on this case. The court also applied the actual working of law as envisaged in the American Constitution to make a ruling on this case. Therefore, these cases provide a clear view on the issue of death sentence in America.</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240"/>
        <w:rPr>
          <w:rFonts w:ascii="Times New Roman" w:cs="Times New Roman" w:hAnsi="Times New Roman"/>
          <w:b/>
          <w:sz w:val="24"/>
          <w:szCs w:val="24"/>
        </w:rPr>
      </w:pPr>
      <w:r>
        <w:rPr>
          <w:rFonts w:ascii="Times New Roman" w:cs="Times New Roman" w:hAnsi="Times New Roman"/>
          <w:iCs/>
          <w:sz w:val="24"/>
          <w:szCs w:val="24"/>
        </w:rPr>
        <w:t>Guyer, Richard. "Ring Around the Jury: Reviewing Florida's Capital Sentencing Framework in Hurst v. Florida." (2016): 242.</w:t>
      </w:r>
    </w:p>
    <w:p>
      <w:pPr>
        <w:pStyle w:val="style0"/>
        <w:spacing w:after="0" w:lineRule="auto" w:line="240"/>
        <w:ind w:left="720" w:hanging="720"/>
        <w:rPr>
          <w:rFonts w:ascii="Times New Roman" w:cs="Times New Roman" w:hAnsi="Times New Roman"/>
          <w:iCs/>
          <w:sz w:val="24"/>
          <w:szCs w:val="24"/>
        </w:rPr>
      </w:pPr>
      <w:r>
        <w:rPr>
          <w:rFonts w:ascii="Times New Roman" w:cs="Times New Roman" w:hAnsi="Times New Roman"/>
          <w:iCs/>
          <w:sz w:val="24"/>
          <w:szCs w:val="24"/>
        </w:rPr>
        <w:t>Jacobs, David, and Jason T. Carmichael. "Ideology, social threat, and the death sentence: Capital sentences across time and space." </w:t>
      </w:r>
      <w:r>
        <w:rPr>
          <w:rFonts w:ascii="Times New Roman" w:cs="Times New Roman" w:hAnsi="Times New Roman"/>
          <w:i/>
          <w:iCs/>
          <w:sz w:val="24"/>
          <w:szCs w:val="24"/>
        </w:rPr>
        <w:t>Social Forces</w:t>
      </w:r>
      <w:r>
        <w:rPr>
          <w:rFonts w:ascii="Times New Roman" w:cs="Times New Roman" w:hAnsi="Times New Roman"/>
          <w:iCs/>
          <w:sz w:val="24"/>
          <w:szCs w:val="24"/>
        </w:rPr>
        <w:t> 83.1 (2004): 249-278.</w:t>
      </w:r>
    </w:p>
    <w:p>
      <w:pPr>
        <w:pStyle w:val="style0"/>
        <w:spacing w:after="0" w:lineRule="auto" w:line="240"/>
        <w:ind w:left="720" w:hanging="720"/>
        <w:rPr>
          <w:rFonts w:ascii="Times New Roman" w:cs="Times New Roman" w:hAnsi="Times New Roman"/>
          <w:iCs/>
          <w:sz w:val="24"/>
          <w:szCs w:val="24"/>
        </w:rPr>
      </w:pPr>
      <w:r>
        <w:rPr>
          <w:rFonts w:ascii="Times New Roman" w:cs="Times New Roman" w:hAnsi="Times New Roman"/>
          <w:iCs/>
          <w:sz w:val="24"/>
          <w:szCs w:val="24"/>
        </w:rPr>
        <w:t>Maerowitz, Michael T. "Glossip v. Gross: The Insurmountable Burden of Proof in Eight Amendment Method-of-Execution Claims." </w:t>
      </w:r>
      <w:r>
        <w:rPr>
          <w:rFonts w:ascii="Times New Roman" w:cs="Times New Roman" w:hAnsi="Times New Roman"/>
          <w:i/>
          <w:iCs/>
          <w:sz w:val="24"/>
          <w:szCs w:val="24"/>
        </w:rPr>
        <w:t>Ariz. St. LJ</w:t>
      </w:r>
      <w:r>
        <w:rPr>
          <w:rFonts w:ascii="Times New Roman" w:cs="Times New Roman" w:hAnsi="Times New Roman"/>
          <w:iCs/>
          <w:sz w:val="24"/>
          <w:szCs w:val="24"/>
        </w:rPr>
        <w:t> 49 (2017): 279.</w:t>
      </w:r>
    </w:p>
    <w:p>
      <w:pPr>
        <w:pStyle w:val="style0"/>
        <w:spacing w:after="0" w:lineRule="auto" w:line="240"/>
        <w:ind w:left="720" w:hanging="720"/>
        <w:rPr>
          <w:rFonts w:ascii="Times New Roman" w:cs="Times New Roman" w:hAnsi="Times New Roman"/>
          <w:iCs/>
          <w:sz w:val="24"/>
          <w:szCs w:val="24"/>
        </w:rPr>
      </w:pPr>
      <w:r>
        <w:rPr>
          <w:rFonts w:ascii="Times New Roman" w:cs="Times New Roman" w:hAnsi="Times New Roman"/>
          <w:iCs/>
          <w:sz w:val="24"/>
          <w:szCs w:val="24"/>
        </w:rPr>
        <w:t>Malec, Norbert. "The Aftermath of the US Supreme Court in the Case Glossip v Gross." </w:t>
      </w:r>
      <w:r>
        <w:rPr>
          <w:rFonts w:ascii="Times New Roman" w:cs="Times New Roman" w:hAnsi="Times New Roman"/>
          <w:i/>
          <w:iCs/>
          <w:sz w:val="24"/>
          <w:szCs w:val="24"/>
        </w:rPr>
        <w:t>StudiaPrawniczeiAdministracyjne</w:t>
      </w:r>
      <w:r>
        <w:rPr>
          <w:rFonts w:ascii="Times New Roman" w:cs="Times New Roman" w:hAnsi="Times New Roman"/>
          <w:iCs/>
          <w:sz w:val="24"/>
          <w:szCs w:val="24"/>
        </w:rPr>
        <w:t> 13 (3) (2015): 37-42.</w:t>
      </w:r>
    </w:p>
    <w:p>
      <w:pPr>
        <w:pStyle w:val="style0"/>
        <w:spacing w:after="0" w:lineRule="auto" w:line="240"/>
        <w:ind w:left="720" w:hanging="720"/>
        <w:rPr>
          <w:rFonts w:ascii="Times New Roman" w:cs="Times New Roman" w:hAnsi="Times New Roman"/>
          <w:iCs/>
          <w:sz w:val="24"/>
          <w:szCs w:val="24"/>
        </w:rPr>
      </w:pPr>
      <w:r>
        <w:rPr>
          <w:rFonts w:ascii="Times New Roman" w:cs="Times New Roman" w:hAnsi="Times New Roman"/>
          <w:iCs/>
          <w:sz w:val="24"/>
          <w:szCs w:val="24"/>
        </w:rPr>
        <w:t>McCann, Stewart JH. "Societal threat, authoritarianism, conservatism, and US state death penalty sentencing (1977-2004)." </w:t>
      </w:r>
      <w:r>
        <w:rPr>
          <w:rFonts w:ascii="Times New Roman" w:cs="Times New Roman" w:hAnsi="Times New Roman"/>
          <w:i/>
          <w:iCs/>
          <w:sz w:val="24"/>
          <w:szCs w:val="24"/>
        </w:rPr>
        <w:t>Journal of Personality and Social Psychology</w:t>
      </w:r>
      <w:r>
        <w:rPr>
          <w:rFonts w:ascii="Times New Roman" w:cs="Times New Roman" w:hAnsi="Times New Roman"/>
          <w:iCs/>
          <w:sz w:val="24"/>
          <w:szCs w:val="24"/>
        </w:rPr>
        <w:t> 94.5 (2008): 913.</w:t>
      </w:r>
    </w:p>
    <w:p>
      <w:pPr>
        <w:pStyle w:val="style0"/>
        <w:spacing w:after="0" w:lineRule="auto" w:line="240"/>
        <w:ind w:left="720" w:hanging="720"/>
        <w:rPr>
          <w:rFonts w:ascii="Times New Roman" w:cs="Times New Roman" w:hAnsi="Times New Roman"/>
          <w:iCs/>
          <w:sz w:val="24"/>
          <w:szCs w:val="24"/>
        </w:rPr>
      </w:pPr>
      <w:r>
        <w:rPr>
          <w:rFonts w:ascii="Times New Roman" w:cs="Times New Roman" w:hAnsi="Times New Roman"/>
          <w:iCs/>
          <w:sz w:val="24"/>
          <w:szCs w:val="24"/>
        </w:rPr>
        <w:t>Wermer, Jeffrey. "The Jury Requirement in Death Sentencing after Hurst v. Florida." </w:t>
      </w:r>
      <w:r>
        <w:rPr>
          <w:rFonts w:ascii="Times New Roman" w:cs="Times New Roman" w:hAnsi="Times New Roman"/>
          <w:i/>
          <w:iCs/>
          <w:sz w:val="24"/>
          <w:szCs w:val="24"/>
        </w:rPr>
        <w:t>Denv. L. Rev.</w:t>
      </w:r>
      <w:r>
        <w:rPr>
          <w:rFonts w:ascii="Times New Roman" w:cs="Times New Roman" w:hAnsi="Times New Roman"/>
          <w:iCs/>
          <w:sz w:val="24"/>
          <w:szCs w:val="24"/>
        </w:rPr>
        <w:t> 94 (2016): 385.</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RESEARCH PROPOSAL JURISPRODENCE</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RESEARCH PROPOSAL JURISPRODENCE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039a624-318c-469b-b70c-f51db3c7677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89ede87-4af3-44da-b04f-ddfa66ef597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1665</Words>
  <Pages>7</Pages>
  <Characters>8276</Characters>
  <Application>WPS Office</Application>
  <DocSecurity>0</DocSecurity>
  <Paragraphs>52</Paragraphs>
  <ScaleCrop>false</ScaleCrop>
  <LinksUpToDate>false</LinksUpToDate>
  <CharactersWithSpaces>10012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2019-12-12T10:03:21Z</dcterms:created>
  <dc:creator>Windows User</dc:creator>
  <lastModifiedBy>JKM-LX1</lastModifiedBy>
  <dcterms:modified xsi:type="dcterms:W3CDTF">2019-12-12T10:03:21Z</dcterms:modified>
  <revision>2</revision>
</coreProperties>
</file>

<file path=docProps/custom.xml><?xml version="1.0" encoding="utf-8"?>
<Properties xmlns="http://schemas.openxmlformats.org/officeDocument/2006/custom-properties" xmlns:vt="http://schemas.openxmlformats.org/officeDocument/2006/docPropsVTypes"/>
</file>