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F1595" w:rsidRDefault="00303E85" w:rsidP="00287701">
      <w:pPr>
        <w:spacing w:line="480" w:lineRule="auto"/>
      </w:pPr>
      <w:bookmarkStart w:id="0" w:name="_GoBack"/>
      <w:bookmarkEnd w:id="0"/>
      <w:r>
        <w:t xml:space="preserve">Name </w:t>
      </w:r>
    </w:p>
    <w:p w:rsidR="00303E85" w:rsidRDefault="00303E85" w:rsidP="00287701">
      <w:pPr>
        <w:spacing w:line="480" w:lineRule="auto"/>
      </w:pPr>
      <w:r>
        <w:t xml:space="preserve">Instructor </w:t>
      </w:r>
    </w:p>
    <w:p w:rsidR="00303E85" w:rsidRDefault="00303E85" w:rsidP="00287701">
      <w:pPr>
        <w:spacing w:line="480" w:lineRule="auto"/>
      </w:pPr>
      <w:r>
        <w:t xml:space="preserve">Course </w:t>
      </w:r>
    </w:p>
    <w:p w:rsidR="00303E85" w:rsidRDefault="00303E85" w:rsidP="00287701">
      <w:pPr>
        <w:spacing w:line="480" w:lineRule="auto"/>
      </w:pPr>
      <w:r>
        <w:t xml:space="preserve">Date </w:t>
      </w:r>
    </w:p>
    <w:p w:rsidR="00303E85" w:rsidRDefault="00303E85" w:rsidP="00287701">
      <w:pPr>
        <w:spacing w:line="480" w:lineRule="auto"/>
        <w:jc w:val="center"/>
      </w:pPr>
      <w:r>
        <w:t xml:space="preserve">Tort </w:t>
      </w:r>
    </w:p>
    <w:p w:rsidR="00303E85" w:rsidRDefault="00BA5B35" w:rsidP="00287701">
      <w:pPr>
        <w:pStyle w:val="ListParagraph"/>
        <w:numPr>
          <w:ilvl w:val="0"/>
          <w:numId w:val="1"/>
        </w:numPr>
        <w:spacing w:line="480" w:lineRule="auto"/>
      </w:pPr>
      <w:r>
        <w:t xml:space="preserve">There is a very thin line between the two terms and such is often misunderstood. </w:t>
      </w:r>
      <w:r w:rsidR="000A0A89">
        <w:t>Deceit is a type of misinterpretation</w:t>
      </w:r>
      <w:r w:rsidR="00287701">
        <w:t xml:space="preserve"> that is made on purpose with the intentions of causing harm to an individual</w:t>
      </w:r>
      <w:r w:rsidR="00A8140A">
        <w:t xml:space="preserve"> (Abraham 10)</w:t>
      </w:r>
      <w:r w:rsidR="00287701">
        <w:t xml:space="preserve">. Ideally, deceit is meant to cause injury to the victim. </w:t>
      </w:r>
      <w:r w:rsidR="003A254A">
        <w:t xml:space="preserve">Misinterpretation is considered to be deceit if it is false and the falsity is made with knowledge as well it causes harm to other individuals. </w:t>
      </w:r>
    </w:p>
    <w:p w:rsidR="00417014" w:rsidRDefault="00417014" w:rsidP="00287701">
      <w:pPr>
        <w:pStyle w:val="ListParagraph"/>
        <w:numPr>
          <w:ilvl w:val="0"/>
          <w:numId w:val="1"/>
        </w:numPr>
        <w:spacing w:line="480" w:lineRule="auto"/>
      </w:pPr>
      <w:r>
        <w:t xml:space="preserve">The misinterpretation </w:t>
      </w:r>
      <w:r w:rsidR="00FC32EF">
        <w:t>ought</w:t>
      </w:r>
      <w:r>
        <w:t xml:space="preserve"> to have facts that are material. </w:t>
      </w:r>
      <w:r w:rsidR="00FC32EF">
        <w:t>It has to be false and the person involved in its making should honestly believe it as to be true</w:t>
      </w:r>
      <w:r w:rsidR="00A8140A">
        <w:t xml:space="preserve"> (Abraham 15)</w:t>
      </w:r>
      <w:r w:rsidR="00FC32EF">
        <w:t xml:space="preserve">. </w:t>
      </w:r>
      <w:r w:rsidR="00F10883">
        <w:t xml:space="preserve">The misinterpretation should be from one person and addressed to the victim who is the person being misled. </w:t>
      </w:r>
      <w:r w:rsidR="009F545F">
        <w:t xml:space="preserve">Also, there must be a party being induced. </w:t>
      </w:r>
    </w:p>
    <w:p w:rsidR="008025F3" w:rsidRDefault="000F6D97" w:rsidP="00287701">
      <w:pPr>
        <w:pStyle w:val="ListParagraph"/>
        <w:numPr>
          <w:ilvl w:val="0"/>
          <w:numId w:val="1"/>
        </w:numPr>
        <w:spacing w:line="480" w:lineRule="auto"/>
      </w:pPr>
      <w:r>
        <w:t xml:space="preserve">Intentional misinterpretation refers to a situation where an untrue statement is provided by an individual or rather one party and it leads to the other party who turns out to be the victim </w:t>
      </w:r>
      <w:r w:rsidR="00F67299">
        <w:t>being</w:t>
      </w:r>
      <w:r>
        <w:t xml:space="preserve"> induced into </w:t>
      </w:r>
      <w:r w:rsidR="00F67299">
        <w:t>entering</w:t>
      </w:r>
      <w:r>
        <w:t xml:space="preserve"> into a contract that is false</w:t>
      </w:r>
      <w:r w:rsidR="00A8140A">
        <w:t xml:space="preserve"> (Abraham 16)</w:t>
      </w:r>
      <w:r>
        <w:t xml:space="preserve">. </w:t>
      </w:r>
      <w:r w:rsidR="00F67299">
        <w:t xml:space="preserve">Negligent misinterpretation on the other hand refers to the situation where a statement is made by an individual thinking it is true and it ends up being the opposite. Ideally, the intentional one is meant to cause harm while in the latter, he </w:t>
      </w:r>
      <w:r w:rsidR="00481001">
        <w:t>harm</w:t>
      </w:r>
      <w:r w:rsidR="00F67299">
        <w:t xml:space="preserve"> is purely accidental. </w:t>
      </w:r>
    </w:p>
    <w:p w:rsidR="00481001" w:rsidRDefault="00481001" w:rsidP="00287701">
      <w:pPr>
        <w:pStyle w:val="ListParagraph"/>
        <w:numPr>
          <w:ilvl w:val="0"/>
          <w:numId w:val="1"/>
        </w:numPr>
        <w:spacing w:line="480" w:lineRule="auto"/>
      </w:pPr>
      <w:r>
        <w:t xml:space="preserve">The idea or rather concept of nondisclosure is part of misinterpretation. It comes through in the situation where the information that has been disclosed plays an important role in </w:t>
      </w:r>
      <w:r>
        <w:lastRenderedPageBreak/>
        <w:t>the causing of the harm or preventing it</w:t>
      </w:r>
      <w:r w:rsidR="00A8140A">
        <w:t xml:space="preserve"> (</w:t>
      </w:r>
      <w:r w:rsidR="00A8140A">
        <w:rPr>
          <w:rFonts w:cs="Times New Roman"/>
          <w:color w:val="222222"/>
          <w:szCs w:val="24"/>
          <w:shd w:val="clear" w:color="auto" w:fill="FFFFFF"/>
        </w:rPr>
        <w:t xml:space="preserve">Allen, William </w:t>
      </w:r>
      <w:r w:rsidR="00A8140A" w:rsidRPr="00A8140A">
        <w:rPr>
          <w:rFonts w:cs="Times New Roman"/>
          <w:color w:val="222222"/>
          <w:szCs w:val="24"/>
          <w:shd w:val="clear" w:color="auto" w:fill="FFFFFF"/>
        </w:rPr>
        <w:t>and Reinier</w:t>
      </w:r>
      <w:r w:rsidR="00A8140A">
        <w:rPr>
          <w:rFonts w:cs="Times New Roman"/>
          <w:color w:val="222222"/>
          <w:szCs w:val="24"/>
          <w:shd w:val="clear" w:color="auto" w:fill="FFFFFF"/>
        </w:rPr>
        <w:t xml:space="preserve"> 21)</w:t>
      </w:r>
      <w:r>
        <w:t xml:space="preserve">. </w:t>
      </w:r>
      <w:r w:rsidR="00C67E08">
        <w:t xml:space="preserve">Ideally, holding of information or misrepresentation of the same is a depiction of intention to cause harm; if the information would have prevented the same. </w:t>
      </w:r>
    </w:p>
    <w:p w:rsidR="0088008B" w:rsidRDefault="0088008B" w:rsidP="00287701">
      <w:pPr>
        <w:pStyle w:val="ListParagraph"/>
        <w:numPr>
          <w:ilvl w:val="0"/>
          <w:numId w:val="1"/>
        </w:numPr>
        <w:spacing w:line="480" w:lineRule="auto"/>
      </w:pPr>
      <w:r>
        <w:t xml:space="preserve">Yes, half truth stands to be ground for misinterpretation. A statement that </w:t>
      </w:r>
      <w:r w:rsidR="00391160">
        <w:t>is</w:t>
      </w:r>
      <w:r>
        <w:t xml:space="preserve"> pre</w:t>
      </w:r>
      <w:r w:rsidR="00391160">
        <w:t>se</w:t>
      </w:r>
      <w:r>
        <w:t>nting half the truth of the matter in subject may pave way for misinterpretation of a given situation</w:t>
      </w:r>
      <w:r w:rsidR="00A8140A">
        <w:t xml:space="preserve"> (</w:t>
      </w:r>
      <w:r w:rsidR="00A8140A">
        <w:rPr>
          <w:rFonts w:cs="Times New Roman"/>
          <w:color w:val="222222"/>
          <w:szCs w:val="24"/>
          <w:shd w:val="clear" w:color="auto" w:fill="FFFFFF"/>
        </w:rPr>
        <w:t xml:space="preserve">Allen, William </w:t>
      </w:r>
      <w:r w:rsidR="00A8140A" w:rsidRPr="00A8140A">
        <w:rPr>
          <w:rFonts w:cs="Times New Roman"/>
          <w:color w:val="222222"/>
          <w:szCs w:val="24"/>
          <w:shd w:val="clear" w:color="auto" w:fill="FFFFFF"/>
        </w:rPr>
        <w:t>and Reinier</w:t>
      </w:r>
      <w:r w:rsidR="00A8140A">
        <w:rPr>
          <w:rFonts w:cs="Times New Roman"/>
          <w:color w:val="222222"/>
          <w:szCs w:val="24"/>
          <w:shd w:val="clear" w:color="auto" w:fill="FFFFFF"/>
        </w:rPr>
        <w:t xml:space="preserve"> 21)</w:t>
      </w:r>
      <w:r>
        <w:t xml:space="preserve">. </w:t>
      </w:r>
      <w:r w:rsidR="00D212D0">
        <w:t xml:space="preserve">This is so because withholding some of the information may make an individual to have a different stance over an issue and thus resulting to misinterpretation. </w:t>
      </w:r>
    </w:p>
    <w:p w:rsidR="00391160" w:rsidRDefault="00391160" w:rsidP="00287701">
      <w:pPr>
        <w:pStyle w:val="ListParagraph"/>
        <w:numPr>
          <w:ilvl w:val="0"/>
          <w:numId w:val="1"/>
        </w:numPr>
        <w:spacing w:line="480" w:lineRule="auto"/>
      </w:pPr>
      <w:r>
        <w:t xml:space="preserve">The courts do treat parties having fiduciary relationships as not to be contractual but rather a different form of contracts that is a different form of contracts. Transactions at arm’s </w:t>
      </w:r>
      <w:r w:rsidR="00D756CB">
        <w:t>length</w:t>
      </w:r>
      <w:r>
        <w:t xml:space="preserve"> are however considered to be contracts. Parties</w:t>
      </w:r>
      <w:r w:rsidR="00D756CB">
        <w:t xml:space="preserve"> </w:t>
      </w:r>
      <w:r>
        <w:t xml:space="preserve">in a contract are in full </w:t>
      </w:r>
      <w:r w:rsidR="00D756CB">
        <w:t>understanding</w:t>
      </w:r>
      <w:r>
        <w:t xml:space="preserve"> of their rights and therefore, any matter</w:t>
      </w:r>
      <w:r w:rsidR="00D756CB">
        <w:t xml:space="preserve"> </w:t>
      </w:r>
      <w:r>
        <w:t>they eng</w:t>
      </w:r>
      <w:r w:rsidR="00D756CB">
        <w:t>a</w:t>
      </w:r>
      <w:r>
        <w:t xml:space="preserve">ge in is stipulated in the constitution and that is what used in the determination of their cases. </w:t>
      </w:r>
    </w:p>
    <w:p w:rsidR="007F1595" w:rsidRDefault="00F20C3E" w:rsidP="00287701">
      <w:pPr>
        <w:pStyle w:val="ListParagraph"/>
        <w:numPr>
          <w:ilvl w:val="0"/>
          <w:numId w:val="1"/>
        </w:numPr>
        <w:spacing w:line="480" w:lineRule="auto"/>
      </w:pPr>
      <w:r>
        <w:t>In</w:t>
      </w:r>
      <w:r w:rsidR="006F1AAD">
        <w:t xml:space="preserve"> </w:t>
      </w:r>
      <w:r>
        <w:t xml:space="preserve">case of a misinterpretation, a </w:t>
      </w:r>
      <w:r w:rsidR="004C4F2C">
        <w:t xml:space="preserve">defendant will be liable to be tagged as a negligent misinterpretor. </w:t>
      </w:r>
      <w:r w:rsidR="001C4303">
        <w:t xml:space="preserve">This is so because, if the tests </w:t>
      </w:r>
      <w:r w:rsidR="006F1AAD">
        <w:t>for</w:t>
      </w:r>
      <w:r w:rsidR="001C4303">
        <w:t xml:space="preserve"> the negligent misinterpretations are not changed during the making of the misinterpretated statement, then the defendant is given special considerations</w:t>
      </w:r>
      <w:r w:rsidR="00A8140A">
        <w:t xml:space="preserve"> (</w:t>
      </w:r>
      <w:r w:rsidR="00A8140A">
        <w:rPr>
          <w:rFonts w:cs="Times New Roman"/>
          <w:color w:val="222222"/>
          <w:szCs w:val="24"/>
          <w:shd w:val="clear" w:color="auto" w:fill="FFFFFF"/>
        </w:rPr>
        <w:t xml:space="preserve">Allen, William </w:t>
      </w:r>
      <w:r w:rsidR="00A8140A" w:rsidRPr="00A8140A">
        <w:rPr>
          <w:rFonts w:cs="Times New Roman"/>
          <w:color w:val="222222"/>
          <w:szCs w:val="24"/>
          <w:shd w:val="clear" w:color="auto" w:fill="FFFFFF"/>
        </w:rPr>
        <w:t>and Reinier</w:t>
      </w:r>
      <w:r w:rsidR="00A8140A">
        <w:rPr>
          <w:rFonts w:cs="Times New Roman"/>
          <w:color w:val="222222"/>
          <w:szCs w:val="24"/>
          <w:shd w:val="clear" w:color="auto" w:fill="FFFFFF"/>
        </w:rPr>
        <w:t xml:space="preserve"> 21)</w:t>
      </w:r>
      <w:r w:rsidR="001C4303">
        <w:t xml:space="preserve">. </w:t>
      </w:r>
      <w:r w:rsidR="007E5E4B">
        <w:t xml:space="preserve">The consequent elements of misinterpretation are made to determine if they are negligent or it was intentional. </w:t>
      </w:r>
    </w:p>
    <w:p w:rsidR="006F1AAD" w:rsidRDefault="001630C1" w:rsidP="00287701">
      <w:pPr>
        <w:pStyle w:val="ListParagraph"/>
        <w:numPr>
          <w:ilvl w:val="0"/>
          <w:numId w:val="1"/>
        </w:numPr>
        <w:spacing w:line="480" w:lineRule="auto"/>
      </w:pPr>
      <w:r>
        <w:t>For</w:t>
      </w:r>
      <w:r w:rsidR="00C41F59">
        <w:t xml:space="preserve"> intentional misinterpretation, the person is required to be in the </w:t>
      </w:r>
      <w:r>
        <w:t>present</w:t>
      </w:r>
      <w:r w:rsidR="00C41F59">
        <w:t xml:space="preserve"> state of mind. </w:t>
      </w:r>
      <w:r>
        <w:t xml:space="preserve">A person’s state of mind determined whether the misinterpretation </w:t>
      </w:r>
      <w:r w:rsidR="00F3007A">
        <w:t>committed</w:t>
      </w:r>
      <w:r>
        <w:t xml:space="preserve"> was intentional or not</w:t>
      </w:r>
      <w:r w:rsidR="00A8140A">
        <w:t xml:space="preserve"> (Abraham 23)</w:t>
      </w:r>
      <w:r>
        <w:t xml:space="preserve">. This therefore implies that the most appropriate state of mind would be the present one. </w:t>
      </w:r>
    </w:p>
    <w:p w:rsidR="00F3007A" w:rsidRDefault="003C151B" w:rsidP="00287701">
      <w:pPr>
        <w:pStyle w:val="ListParagraph"/>
        <w:numPr>
          <w:ilvl w:val="0"/>
          <w:numId w:val="1"/>
        </w:numPr>
        <w:spacing w:line="480" w:lineRule="auto"/>
      </w:pPr>
      <w:r>
        <w:lastRenderedPageBreak/>
        <w:t xml:space="preserve">The defendant may either be or fail to be liable if the </w:t>
      </w:r>
      <w:r w:rsidR="006E266E">
        <w:t>misinterpretation</w:t>
      </w:r>
      <w:r>
        <w:t xml:space="preserve"> is in conj</w:t>
      </w:r>
      <w:r w:rsidR="006E266E">
        <w:t>unc</w:t>
      </w:r>
      <w:r>
        <w:t xml:space="preserve">tion with the </w:t>
      </w:r>
      <w:r w:rsidR="006E266E">
        <w:t>investigations</w:t>
      </w:r>
      <w:r>
        <w:t xml:space="preserve"> by the plaintiff. This is so because, if the investigations show that the misinterpretation caused the harm or violation of law then the defendant is to be held liable</w:t>
      </w:r>
      <w:r w:rsidR="00A8140A">
        <w:t xml:space="preserve"> (</w:t>
      </w:r>
      <w:r w:rsidR="00A8140A">
        <w:rPr>
          <w:rFonts w:cs="Times New Roman"/>
          <w:color w:val="222222"/>
          <w:szCs w:val="24"/>
          <w:shd w:val="clear" w:color="auto" w:fill="FFFFFF"/>
        </w:rPr>
        <w:t xml:space="preserve">Allen, William </w:t>
      </w:r>
      <w:r w:rsidR="00A8140A" w:rsidRPr="00A8140A">
        <w:rPr>
          <w:rFonts w:cs="Times New Roman"/>
          <w:color w:val="222222"/>
          <w:szCs w:val="24"/>
          <w:shd w:val="clear" w:color="auto" w:fill="FFFFFF"/>
        </w:rPr>
        <w:t>and Reinier</w:t>
      </w:r>
      <w:r w:rsidR="00A8140A">
        <w:rPr>
          <w:rFonts w:cs="Times New Roman"/>
          <w:color w:val="222222"/>
          <w:szCs w:val="24"/>
          <w:shd w:val="clear" w:color="auto" w:fill="FFFFFF"/>
        </w:rPr>
        <w:t xml:space="preserve"> 21)</w:t>
      </w:r>
      <w:r>
        <w:t xml:space="preserve">. Contrarily, if the </w:t>
      </w:r>
      <w:r w:rsidR="006E266E">
        <w:t>investigations come</w:t>
      </w:r>
      <w:r>
        <w:t xml:space="preserve"> up with information that is contradictory to that in the misinterpretation then they may fail to be held accountable. </w:t>
      </w:r>
    </w:p>
    <w:p w:rsidR="002377B0" w:rsidRDefault="002377B0" w:rsidP="00287701">
      <w:pPr>
        <w:pStyle w:val="ListParagraph"/>
        <w:numPr>
          <w:ilvl w:val="0"/>
          <w:numId w:val="1"/>
        </w:numPr>
        <w:spacing w:line="480" w:lineRule="auto"/>
      </w:pPr>
      <w:r>
        <w:t>The defendant’s misinterpretation may be relied upon by the plaintiff in the determination or rather coming up with a decision about the case</w:t>
      </w:r>
      <w:r w:rsidR="004E7EB1">
        <w:t xml:space="preserve">. The plaintiff is however required to prove that the misinterpretation played a significant role in the determination of such course of action. This is as to ensure that the decision to use the misinterpretation is legitimate. </w:t>
      </w:r>
    </w:p>
    <w:p w:rsidR="00767D66" w:rsidRDefault="00F55928" w:rsidP="00287701">
      <w:pPr>
        <w:pStyle w:val="ListParagraph"/>
        <w:numPr>
          <w:ilvl w:val="0"/>
          <w:numId w:val="1"/>
        </w:numPr>
        <w:spacing w:line="480" w:lineRule="auto"/>
      </w:pPr>
      <w:r>
        <w:t xml:space="preserve"> Puffing refers to the situation where a defendant makes outrageous statements in a bid to attract buyers through giving more attributes to a given product or service. For purposes of puff statements, the </w:t>
      </w:r>
      <w:r w:rsidR="002658A3">
        <w:t>court takes</w:t>
      </w:r>
      <w:r>
        <w:t xml:space="preserve"> the following stance; a statement is not binding if the court determines that it was not meant seriously. This therefore implies that the court has to look up to the matter and if the intents were purely attraction of customers, it would b taken lightly. </w:t>
      </w:r>
    </w:p>
    <w:p w:rsidR="003372E2" w:rsidRDefault="002658A3" w:rsidP="003372E2">
      <w:pPr>
        <w:pStyle w:val="ListParagraph"/>
        <w:spacing w:line="480" w:lineRule="auto"/>
      </w:pPr>
      <w:r>
        <w:t xml:space="preserve">In the event that statements are made y a disinterested party, the court has </w:t>
      </w:r>
      <w:r w:rsidR="00E45162">
        <w:t xml:space="preserve">full rights to take action on them. There is no stipulation as to provisions being given to people that are disinterested in the case going on. In the event they display their disinterest through their sentiments they ought to be held accountable for the same. </w:t>
      </w:r>
    </w:p>
    <w:p w:rsidR="000058A7" w:rsidRDefault="003372E2" w:rsidP="003372E2">
      <w:pPr>
        <w:pStyle w:val="ListParagraph"/>
        <w:spacing w:line="480" w:lineRule="auto"/>
      </w:pPr>
      <w:r>
        <w:t>I</w:t>
      </w:r>
      <w:r w:rsidR="000058A7">
        <w:t xml:space="preserve">n a situation where the opinion given by the defendant amounts to facts that could have </w:t>
      </w:r>
      <w:r>
        <w:t>significant</w:t>
      </w:r>
      <w:r w:rsidR="000058A7">
        <w:t xml:space="preserve"> implications on the case at hand, then the course may be forced to listen or </w:t>
      </w:r>
      <w:r w:rsidR="000058A7">
        <w:lastRenderedPageBreak/>
        <w:t xml:space="preserve">rather </w:t>
      </w:r>
      <w:r>
        <w:t>give</w:t>
      </w:r>
      <w:r w:rsidR="000058A7">
        <w:t xml:space="preserve"> them a consideration. </w:t>
      </w:r>
      <w:r>
        <w:t xml:space="preserve">If the defendant gives </w:t>
      </w:r>
      <w:r w:rsidR="00892298">
        <w:t>substantial</w:t>
      </w:r>
      <w:r>
        <w:t xml:space="preserve"> opinion, the court may be compelled to relying on the same rather than investigations. This is so because </w:t>
      </w:r>
      <w:r w:rsidR="00892298">
        <w:t>i</w:t>
      </w:r>
      <w:r>
        <w:t xml:space="preserve">t is enough proof required in the determination of the case. </w:t>
      </w:r>
    </w:p>
    <w:p w:rsidR="00287C5F" w:rsidRDefault="00287C5F" w:rsidP="003372E2">
      <w:pPr>
        <w:pStyle w:val="ListParagraph"/>
        <w:spacing w:line="480" w:lineRule="auto"/>
      </w:pPr>
      <w:r>
        <w:t xml:space="preserve">For </w:t>
      </w:r>
      <w:r w:rsidR="00684329">
        <w:t>predictions</w:t>
      </w:r>
      <w:r>
        <w:t xml:space="preserve">, the court may be forced to depend on investigations as well as the evidence that have been used to back up the investigations. </w:t>
      </w:r>
      <w:r w:rsidR="00684329">
        <w:t xml:space="preserve">Some defendants may give statements that are </w:t>
      </w:r>
      <w:r w:rsidR="00EA7DD2">
        <w:t>predictive</w:t>
      </w:r>
      <w:r w:rsidR="00684329">
        <w:t xml:space="preserve"> of the situation at hand and th</w:t>
      </w:r>
      <w:r w:rsidR="007F0806">
        <w:t xml:space="preserve">ese may either be true or false. To clear the </w:t>
      </w:r>
      <w:r w:rsidR="00EA7DD2">
        <w:t>uncertainty</w:t>
      </w:r>
      <w:r w:rsidR="007F0806">
        <w:t xml:space="preserve">, the court looks at the evidence that backs the prediction and compares it with the investigation on the case and the determination is given based on the two. </w:t>
      </w:r>
    </w:p>
    <w:p w:rsidR="00EA7DD2" w:rsidRDefault="00EA7DD2" w:rsidP="003372E2">
      <w:pPr>
        <w:pStyle w:val="ListParagraph"/>
        <w:spacing w:line="480" w:lineRule="auto"/>
      </w:pPr>
      <w:r>
        <w:t xml:space="preserve">Statements of intention imply those that have been made by the defendant on purpose and thus they are bound to be used against him. If they are found to be implying misinterpretation or deceit, the defendant may be charged guilty. Also, if the statements of </w:t>
      </w:r>
      <w:r w:rsidR="003D7FED">
        <w:t>intent</w:t>
      </w:r>
      <w:r>
        <w:t xml:space="preserve"> made by the defendant could be used in </w:t>
      </w:r>
      <w:r w:rsidR="003D7FED">
        <w:t>defense</w:t>
      </w:r>
      <w:r>
        <w:t xml:space="preserve"> of the case against the defendant, then they may be used in determination of their innocence. </w:t>
      </w:r>
    </w:p>
    <w:p w:rsidR="00D7780F" w:rsidRDefault="003A074E" w:rsidP="00D7780F">
      <w:pPr>
        <w:pStyle w:val="ListParagraph"/>
        <w:numPr>
          <w:ilvl w:val="0"/>
          <w:numId w:val="1"/>
        </w:numPr>
        <w:spacing w:line="480" w:lineRule="auto"/>
      </w:pPr>
      <w:r>
        <w:t xml:space="preserve">Ideally, the term causation </w:t>
      </w:r>
      <w:r w:rsidR="0020301C">
        <w:t>implies</w:t>
      </w:r>
      <w:r>
        <w:t xml:space="preserve"> that the actions of the defendant led to the injury of the plaintiff. In </w:t>
      </w:r>
      <w:r w:rsidR="0020301C">
        <w:t>such</w:t>
      </w:r>
      <w:r>
        <w:t xml:space="preserve"> a situation, the plaintiff is supposed to </w:t>
      </w:r>
      <w:r w:rsidR="0020301C">
        <w:t>prove</w:t>
      </w:r>
      <w:r>
        <w:t xml:space="preserve"> that the injuries suffered by the plaintiff are as a result of the actions of the defendant. Such is to be proven whether the actions were due to negligence or intentional. They </w:t>
      </w:r>
      <w:r w:rsidR="0020301C">
        <w:t>should</w:t>
      </w:r>
      <w:r>
        <w:t xml:space="preserve"> be having direct injury effects on the plaintiff. </w:t>
      </w:r>
    </w:p>
    <w:p w:rsidR="002E2E77" w:rsidRDefault="002E2E77" w:rsidP="00D7780F">
      <w:pPr>
        <w:pStyle w:val="ListParagraph"/>
        <w:numPr>
          <w:ilvl w:val="0"/>
          <w:numId w:val="1"/>
        </w:numPr>
        <w:spacing w:line="480" w:lineRule="auto"/>
      </w:pPr>
      <w:r>
        <w:t>The reliance measure of damages refer o the situation where a measure of compensation is offered to the individual or rathe</w:t>
      </w:r>
      <w:r w:rsidR="00CF4BA0">
        <w:t xml:space="preserve">r </w:t>
      </w:r>
      <w:r>
        <w:t xml:space="preserve">the party that is directly affected by the ravages of the economic harm as a result of reliance on another party who did not act up to their obligations. </w:t>
      </w:r>
      <w:r w:rsidR="00E44857">
        <w:t>Under the</w:t>
      </w:r>
      <w:r w:rsidR="00CF4BA0">
        <w:t xml:space="preserve"> </w:t>
      </w:r>
      <w:r w:rsidR="00E44857">
        <w:t xml:space="preserve">benefit of the </w:t>
      </w:r>
      <w:r w:rsidR="00CF4BA0">
        <w:t>bargain</w:t>
      </w:r>
      <w:r w:rsidR="00E44857">
        <w:t xml:space="preserve"> measure, the individual or rather</w:t>
      </w:r>
      <w:r w:rsidR="00CF4BA0">
        <w:t xml:space="preserve"> the party </w:t>
      </w:r>
      <w:r w:rsidR="00CF4BA0">
        <w:lastRenderedPageBreak/>
        <w:t>that is a victim of a fraudulent act</w:t>
      </w:r>
      <w:r w:rsidR="00E44857">
        <w:t xml:space="preserve"> is bound to recover </w:t>
      </w:r>
      <w:r w:rsidR="00193F70">
        <w:t xml:space="preserve">difference that is there between the </w:t>
      </w:r>
      <w:r w:rsidR="00CF4BA0">
        <w:t>values</w:t>
      </w:r>
      <w:r w:rsidR="00193F70">
        <w:t xml:space="preserve"> that would have been gotten were the defendant’s misinterpretated statement was </w:t>
      </w:r>
      <w:r w:rsidR="00CF4BA0">
        <w:t>true</w:t>
      </w:r>
      <w:r w:rsidR="00193F70">
        <w:t xml:space="preserve"> </w:t>
      </w:r>
      <w:r w:rsidR="00CF4BA0">
        <w:t>and</w:t>
      </w:r>
      <w:r w:rsidR="00193F70">
        <w:t xml:space="preserve"> the value that would have actually been received. </w:t>
      </w:r>
    </w:p>
    <w:p w:rsidR="00E45AA4" w:rsidRDefault="00B231A5" w:rsidP="00D7780F">
      <w:pPr>
        <w:pStyle w:val="ListParagraph"/>
        <w:numPr>
          <w:ilvl w:val="0"/>
          <w:numId w:val="1"/>
        </w:numPr>
        <w:spacing w:line="480" w:lineRule="auto"/>
      </w:pPr>
      <w:r>
        <w:t xml:space="preserve">In the event that the misinterpretation has been proven to be negligible, the court may provide room for considerations and this is dependent on the ravages of the misinterpretation. </w:t>
      </w:r>
      <w:r w:rsidR="003F6D90">
        <w:t>However</w:t>
      </w:r>
      <w:r>
        <w:t xml:space="preserve">, if the misinterpretation is intentional, the court makes the </w:t>
      </w:r>
      <w:r w:rsidR="003F6D90">
        <w:t>judgment</w:t>
      </w:r>
      <w:r>
        <w:t xml:space="preserve"> in line with the provisions of the law. The difference comes in the instance where the negligible one has a provision for consideration whereas the intentional ones do not. </w:t>
      </w:r>
    </w:p>
    <w:p w:rsidR="00A15365" w:rsidRDefault="00D97F08" w:rsidP="00D7780F">
      <w:pPr>
        <w:pStyle w:val="ListParagraph"/>
        <w:numPr>
          <w:ilvl w:val="0"/>
          <w:numId w:val="1"/>
        </w:numPr>
        <w:spacing w:line="480" w:lineRule="auto"/>
      </w:pPr>
      <w:r>
        <w:t xml:space="preserve">The court may allow for recovery of innocent misinterpretation if the defendant proves that they were negligible about the misinterpretation. In this case, the court </w:t>
      </w:r>
      <w:r w:rsidR="002B73E5">
        <w:t>takes the</w:t>
      </w:r>
      <w:r>
        <w:t xml:space="preserve"> perspective that the mistake made by the defendant was purely out of goodwill. It is said that they did whatever they did because they thought it was right and thus a room for corrections of the same would be fair enough. </w:t>
      </w:r>
    </w:p>
    <w:p w:rsidR="00B44DED" w:rsidRDefault="00FA4E86" w:rsidP="00D7780F">
      <w:pPr>
        <w:pStyle w:val="ListParagraph"/>
        <w:numPr>
          <w:ilvl w:val="0"/>
          <w:numId w:val="1"/>
        </w:numPr>
        <w:spacing w:line="480" w:lineRule="auto"/>
      </w:pPr>
      <w:r>
        <w:t xml:space="preserve">The nuisance law is often referred to as law’s garbage can and such is so because the term nuisance implies a specific type of injury were the use and enjoyment of property have been </w:t>
      </w:r>
      <w:r w:rsidR="00C256AB">
        <w:t>interfered</w:t>
      </w:r>
      <w:r>
        <w:t xml:space="preserve"> with. </w:t>
      </w:r>
      <w:r w:rsidR="00C256AB">
        <w:t xml:space="preserve">Its nebulous definition is also another reason that could have led it being referred to as the law’s garbage can. The court defined nuisance as a section of law that handles the legal </w:t>
      </w:r>
      <w:r w:rsidR="00157822">
        <w:t>world</w:t>
      </w:r>
      <w:r w:rsidR="00C256AB">
        <w:t xml:space="preserve">, defying synthesis and in a bid to suit every taste, generates case laws. </w:t>
      </w:r>
    </w:p>
    <w:p w:rsidR="00157822" w:rsidRDefault="00157822" w:rsidP="00D7780F">
      <w:pPr>
        <w:pStyle w:val="ListParagraph"/>
        <w:numPr>
          <w:ilvl w:val="0"/>
          <w:numId w:val="1"/>
        </w:numPr>
        <w:spacing w:line="480" w:lineRule="auto"/>
      </w:pPr>
      <w:r>
        <w:t xml:space="preserve">Private nuisance implies a case where there is unlawful interference with the utilization of a given piece of land. </w:t>
      </w:r>
      <w:r w:rsidR="008B192C">
        <w:t xml:space="preserve">Public nuisance on the other hand refers to the situation where an act </w:t>
      </w:r>
      <w:r w:rsidR="00005177">
        <w:t>committed</w:t>
      </w:r>
      <w:r w:rsidR="008B192C">
        <w:t xml:space="preserve"> is deemed illegal since it </w:t>
      </w:r>
      <w:r w:rsidR="00005177">
        <w:t>interferes</w:t>
      </w:r>
      <w:r w:rsidR="008B192C">
        <w:t xml:space="preserve"> with the rights of the people in the </w:t>
      </w:r>
      <w:r w:rsidR="008B192C">
        <w:lastRenderedPageBreak/>
        <w:t xml:space="preserve">general public. </w:t>
      </w:r>
      <w:r w:rsidR="00051034">
        <w:t xml:space="preserve">The difference between the two sets in when it comes to the number f people affected ad the scope of the harm caused; private nuisance is felt by an individual </w:t>
      </w:r>
      <w:r w:rsidR="00005177">
        <w:t>or even a single family whereas</w:t>
      </w:r>
      <w:r w:rsidR="00051034">
        <w:t xml:space="preserve"> public nuisance is felt by a larger group, say an enti</w:t>
      </w:r>
      <w:r w:rsidR="00005177">
        <w:t>r</w:t>
      </w:r>
      <w:r w:rsidR="00051034">
        <w:t xml:space="preserve">e community. </w:t>
      </w:r>
    </w:p>
    <w:p w:rsidR="00005177" w:rsidRDefault="00D97522" w:rsidP="00D7780F">
      <w:pPr>
        <w:pStyle w:val="ListParagraph"/>
        <w:numPr>
          <w:ilvl w:val="0"/>
          <w:numId w:val="1"/>
        </w:numPr>
        <w:spacing w:line="480" w:lineRule="auto"/>
      </w:pPr>
      <w:r>
        <w:t>The basic elements of public nuisance include the defendant’s act created a condition that posed</w:t>
      </w:r>
      <w:r w:rsidR="00E24204">
        <w:t xml:space="preserve"> </w:t>
      </w:r>
      <w:r>
        <w:t xml:space="preserve">the victim’s health to </w:t>
      </w:r>
      <w:r w:rsidR="00E24204">
        <w:t>harm</w:t>
      </w:r>
      <w:r>
        <w:t>, or was indecent to their senses or caused some sense of obstruction t</w:t>
      </w:r>
      <w:r w:rsidR="00E24204">
        <w:t>o</w:t>
      </w:r>
      <w:r>
        <w:t xml:space="preserve"> the </w:t>
      </w:r>
      <w:r w:rsidR="00E24204">
        <w:t>free</w:t>
      </w:r>
      <w:r>
        <w:t xml:space="preserve"> use of property. </w:t>
      </w:r>
      <w:r w:rsidR="00E24204">
        <w:t xml:space="preserve">Another element is that the condition created by such actions affected a significant number of people simultaneously. </w:t>
      </w:r>
      <w:r w:rsidR="00C20533">
        <w:t xml:space="preserve">Any person would be disturbed by the condition is also an element. </w:t>
      </w:r>
      <w:r w:rsidR="00C7456B">
        <w:t xml:space="preserve">The above are a few but the most basic elements of public nuisance. </w:t>
      </w:r>
    </w:p>
    <w:p w:rsidR="00DA49AE" w:rsidRDefault="00DA49AE" w:rsidP="00DA49AE">
      <w:pPr>
        <w:pStyle w:val="ListParagraph"/>
        <w:spacing w:line="480" w:lineRule="auto"/>
      </w:pPr>
      <w:r>
        <w:t>The plaintiff is required to prove that he suffered damages in a bid to have the case considered as nuisance. It falls among the basic elements of public nuisance and thus without this, the defendant stands a chance to b</w:t>
      </w:r>
      <w:r w:rsidR="00C13F56">
        <w:t xml:space="preserve">efore </w:t>
      </w:r>
      <w:r>
        <w:t xml:space="preserve">themselves. </w:t>
      </w:r>
      <w:r w:rsidR="00C13F56">
        <w:t xml:space="preserve">If the above is not proven then the case may fail to be considered as to be nuisance. </w:t>
      </w:r>
    </w:p>
    <w:p w:rsidR="00271552" w:rsidRDefault="00271552" w:rsidP="00DA49AE">
      <w:pPr>
        <w:pStyle w:val="ListParagraph"/>
        <w:spacing w:line="480" w:lineRule="auto"/>
      </w:pPr>
      <w:r>
        <w:t>Particular damages are those tha</w:t>
      </w:r>
      <w:r w:rsidR="0048770B">
        <w:t xml:space="preserve">t are not stipulated in the law and they are as a result of action or injury to an individual. The courts have had rough time handling such due to their vague nature in the law. They have to deal with logics and cases at hand and this makes it difficult to handle such type of cases. </w:t>
      </w:r>
    </w:p>
    <w:p w:rsidR="00CB6ACC" w:rsidRDefault="00AE7071" w:rsidP="00CB6ACC">
      <w:pPr>
        <w:pStyle w:val="ListParagraph"/>
        <w:numPr>
          <w:ilvl w:val="0"/>
          <w:numId w:val="1"/>
        </w:numPr>
        <w:spacing w:line="480" w:lineRule="auto"/>
      </w:pPr>
      <w:r>
        <w:t xml:space="preserve">The elements of private nuisance are as follows, the </w:t>
      </w:r>
      <w:r w:rsidR="007A4DED">
        <w:t>plaintiff</w:t>
      </w:r>
      <w:r>
        <w:t xml:space="preserve"> must be in possession of the land legally, the defendant must have acted in a way that interferes or rather </w:t>
      </w:r>
      <w:r w:rsidR="007A4DED">
        <w:t>distract</w:t>
      </w:r>
      <w:r>
        <w:t xml:space="preserve"> the plaintiff from enjoying use of their land</w:t>
      </w:r>
      <w:r w:rsidR="00837379">
        <w:t xml:space="preserve"> and finally, the type of </w:t>
      </w:r>
      <w:r w:rsidR="007A4DED">
        <w:t>interference</w:t>
      </w:r>
      <w:r w:rsidR="00837379">
        <w:t xml:space="preserve"> caused must be unreasonable. </w:t>
      </w:r>
    </w:p>
    <w:p w:rsidR="004B01DC" w:rsidRDefault="004B01DC" w:rsidP="004B01DC">
      <w:pPr>
        <w:pStyle w:val="ListParagraph"/>
        <w:spacing w:line="480" w:lineRule="auto"/>
      </w:pPr>
      <w:r>
        <w:lastRenderedPageBreak/>
        <w:t xml:space="preserve">Private nuisance differs from trespass in the sense that it implies </w:t>
      </w:r>
      <w:r w:rsidR="005009A4">
        <w:t>interference</w:t>
      </w:r>
      <w:r>
        <w:t xml:space="preserve"> being caused and not necessarily through getting into another person’s land. In trespass, the defendant </w:t>
      </w:r>
      <w:r w:rsidR="005009A4">
        <w:t>must</w:t>
      </w:r>
      <w:r>
        <w:t xml:space="preserve"> have gotten </w:t>
      </w:r>
      <w:r w:rsidR="005009A4">
        <w:t>into</w:t>
      </w:r>
      <w:r>
        <w:t xml:space="preserve"> the plaintiff’s land ad caused the disturbance. However, in nuisance, the </w:t>
      </w:r>
      <w:r w:rsidR="005009A4">
        <w:t>interference m</w:t>
      </w:r>
      <w:r>
        <w:t xml:space="preserve">ay be caused through acts different from getting into the plaintiff’s land. </w:t>
      </w:r>
    </w:p>
    <w:p w:rsidR="00D82E88" w:rsidRDefault="00D82E88" w:rsidP="004B01DC">
      <w:pPr>
        <w:pStyle w:val="ListParagraph"/>
        <w:spacing w:line="480" w:lineRule="auto"/>
      </w:pPr>
      <w:r>
        <w:t xml:space="preserve">Substantial </w:t>
      </w:r>
      <w:r w:rsidR="00F81A9C">
        <w:t>interference</w:t>
      </w:r>
      <w:r>
        <w:t xml:space="preserve"> refers to a situation where the </w:t>
      </w:r>
      <w:r w:rsidR="00F81A9C">
        <w:t>interference</w:t>
      </w:r>
      <w:r>
        <w:t xml:space="preserve"> caused has </w:t>
      </w:r>
      <w:r w:rsidR="00F81A9C">
        <w:t>severe</w:t>
      </w:r>
      <w:r>
        <w:t xml:space="preserve"> implications on the plaintiff’s </w:t>
      </w:r>
      <w:r w:rsidR="0060282A">
        <w:t xml:space="preserve">freedom to use their land and enjoy it. </w:t>
      </w:r>
      <w:r w:rsidR="005256D3">
        <w:t xml:space="preserve">Ideally, it presupposes that the </w:t>
      </w:r>
      <w:r w:rsidR="00F81A9C">
        <w:t>interference</w:t>
      </w:r>
      <w:r w:rsidR="005256D3">
        <w:t xml:space="preserve"> caused by the defendant to the plaintiff has to be substantial and significant to have negative implications on his peace and freedom to enjoy their land. </w:t>
      </w:r>
    </w:p>
    <w:p w:rsidR="00F81A9C" w:rsidRDefault="00F81A9C" w:rsidP="004B01DC">
      <w:pPr>
        <w:pStyle w:val="ListParagraph"/>
        <w:spacing w:line="480" w:lineRule="auto"/>
      </w:pPr>
      <w:r>
        <w:t xml:space="preserve">For a defendant’s act to be considered as private nuisance, then it has to be intentional. If the acts are out of negligence then the defendant may be pardoned and given room to </w:t>
      </w:r>
      <w:r w:rsidR="00DF079D">
        <w:t>defend</w:t>
      </w:r>
      <w:r>
        <w:t xml:space="preserve"> themselves and explain how they were not aware of the possible implications of their actions. However, if the act was intentional then they will be punished as per the stipulations of the law </w:t>
      </w:r>
      <w:r w:rsidR="00DF079D">
        <w:t>and</w:t>
      </w:r>
      <w:r>
        <w:t xml:space="preserve"> therefore for it to be considered as to be private </w:t>
      </w:r>
      <w:r w:rsidR="00DF079D">
        <w:t>nuisance</w:t>
      </w:r>
      <w:r>
        <w:t xml:space="preserve">, it must have been </w:t>
      </w:r>
      <w:r w:rsidR="00DF079D">
        <w:t>committed</w:t>
      </w:r>
      <w:r>
        <w:t xml:space="preserve"> intentionally. </w:t>
      </w:r>
    </w:p>
    <w:p w:rsidR="00994B5A" w:rsidRDefault="00994B5A" w:rsidP="004B01DC">
      <w:pPr>
        <w:pStyle w:val="ListParagraph"/>
        <w:spacing w:line="480" w:lineRule="auto"/>
      </w:pPr>
      <w:r>
        <w:t xml:space="preserve">One factor that considered in the determination of </w:t>
      </w:r>
      <w:r w:rsidR="007F4931">
        <w:t>how</w:t>
      </w:r>
      <w:r>
        <w:t xml:space="preserve"> reasonable a particular conduct </w:t>
      </w:r>
      <w:r w:rsidR="00DE71B4">
        <w:t xml:space="preserve">is the chances that other people will be injured from the acts of the defendant’s and that the magnitude of the seriousness </w:t>
      </w:r>
      <w:r w:rsidR="007F4931">
        <w:t>will</w:t>
      </w:r>
      <w:r w:rsidR="00DE71B4">
        <w:t xml:space="preserve"> be high and such is normally balanced against the risk that the </w:t>
      </w:r>
      <w:r w:rsidR="007F4931">
        <w:t>defendant</w:t>
      </w:r>
      <w:r w:rsidR="00DE71B4">
        <w:t xml:space="preserve"> would have taken for him to </w:t>
      </w:r>
      <w:r w:rsidR="007F4931">
        <w:t>avoid</w:t>
      </w:r>
      <w:r w:rsidR="00DE71B4">
        <w:t xml:space="preserve"> the </w:t>
      </w:r>
      <w:r w:rsidR="007F4931">
        <w:t>risk</w:t>
      </w:r>
      <w:r w:rsidR="00DE71B4">
        <w:t xml:space="preserve">. </w:t>
      </w:r>
      <w:r w:rsidR="009B2944">
        <w:t xml:space="preserve">Also, the unreasonable </w:t>
      </w:r>
      <w:r w:rsidR="007F4931">
        <w:t>nature of the actions is</w:t>
      </w:r>
      <w:r w:rsidR="009B2944">
        <w:t xml:space="preserve"> determined by the </w:t>
      </w:r>
      <w:r w:rsidR="007F4931">
        <w:t>relationship</w:t>
      </w:r>
      <w:r w:rsidR="009B2944">
        <w:t xml:space="preserve"> as well as characteristics of the plaintiff. </w:t>
      </w:r>
    </w:p>
    <w:p w:rsidR="00E3148F" w:rsidRDefault="00E3148F" w:rsidP="004B01DC">
      <w:pPr>
        <w:pStyle w:val="ListParagraph"/>
        <w:spacing w:line="480" w:lineRule="auto"/>
      </w:pPr>
      <w:r>
        <w:lastRenderedPageBreak/>
        <w:t xml:space="preserve">The most common </w:t>
      </w:r>
      <w:r w:rsidR="001D3794">
        <w:t>remedy</w:t>
      </w:r>
      <w:r>
        <w:t xml:space="preserve"> or nuisance is </w:t>
      </w:r>
      <w:r w:rsidR="001D3794">
        <w:t>monetary</w:t>
      </w:r>
      <w:r>
        <w:t xml:space="preserve"> damages being covered up. </w:t>
      </w:r>
      <w:r w:rsidR="001D3794">
        <w:t>Injunction</w:t>
      </w:r>
      <w:r>
        <w:t xml:space="preserve"> may as well come through as to be appropriate in certain circumstances. </w:t>
      </w:r>
      <w:r w:rsidR="001D3794">
        <w:t>Injunction</w:t>
      </w:r>
      <w:r>
        <w:t xml:space="preserve"> is normally used as a drastic remedy when the damage or rather the threat of damage is irreparable. </w:t>
      </w:r>
    </w:p>
    <w:p w:rsidR="002D16A1" w:rsidRDefault="002D16A1" w:rsidP="004B01DC">
      <w:pPr>
        <w:pStyle w:val="ListParagraph"/>
        <w:spacing w:line="480" w:lineRule="auto"/>
      </w:pPr>
      <w:r>
        <w:t xml:space="preserve">Some of the defenses that could be employed include consent, circumstances where the plaintiff is the wrong doer and where the actions were as a result of necessity. </w:t>
      </w:r>
      <w:r w:rsidR="00C75C6B">
        <w:t xml:space="preserve">Also, in the event that the action was an inevitable accident then that may serve as a defense. </w:t>
      </w:r>
      <w:r w:rsidR="00480605">
        <w:t>Finally if the action was deemed to private defense the</w:t>
      </w:r>
      <w:r w:rsidR="00774513">
        <w:t>n</w:t>
      </w:r>
      <w:r w:rsidR="00480605">
        <w:t xml:space="preserve"> it may serve the defendant right. </w:t>
      </w:r>
    </w:p>
    <w:p w:rsidR="00774513" w:rsidRDefault="00B84A41" w:rsidP="00774513">
      <w:pPr>
        <w:pStyle w:val="ListParagraph"/>
        <w:numPr>
          <w:ilvl w:val="0"/>
          <w:numId w:val="1"/>
        </w:numPr>
        <w:spacing w:line="480" w:lineRule="auto"/>
      </w:pPr>
      <w:r>
        <w:t xml:space="preserve">Nuisance has been seen to enjoy </w:t>
      </w:r>
      <w:r w:rsidR="009B66D2">
        <w:t>resurgence</w:t>
      </w:r>
      <w:r>
        <w:t xml:space="preserve"> owing to the recent growth of alga </w:t>
      </w:r>
      <w:r w:rsidR="009B66D2">
        <w:t>C</w:t>
      </w:r>
      <w:r>
        <w:t xml:space="preserve">ladophora in </w:t>
      </w:r>
      <w:r w:rsidR="009B66D2">
        <w:t>Lake</w:t>
      </w:r>
      <w:r>
        <w:t xml:space="preserve"> </w:t>
      </w:r>
      <w:r w:rsidR="00573FB7">
        <w:t xml:space="preserve">Ontario. Such led to the implementation of the control measures controlling the use of phosphorous. </w:t>
      </w:r>
      <w:r w:rsidR="005021E8">
        <w:t xml:space="preserve">The phosphorous management has been found </w:t>
      </w:r>
      <w:r w:rsidR="009B66D2">
        <w:t>to be</w:t>
      </w:r>
      <w:r w:rsidR="005021E8">
        <w:t xml:space="preserve"> the only way the growth of the nuisance could be managed. </w:t>
      </w:r>
    </w:p>
    <w:p w:rsidR="00BD1331" w:rsidRDefault="00BD1331" w:rsidP="00BD1331">
      <w:pPr>
        <w:pStyle w:val="ListParagraph"/>
        <w:spacing w:line="480" w:lineRule="auto"/>
      </w:pPr>
      <w:r>
        <w:t xml:space="preserve">CERCLA is the acronym for the Comprehensive Environmental Response Compensation and Liability. It is a move that was </w:t>
      </w:r>
      <w:r w:rsidR="009B66D2">
        <w:t>initiated</w:t>
      </w:r>
      <w:r>
        <w:t xml:space="preserve"> to regulate the alarming unacceptable dumping of the hazardous waste products. </w:t>
      </w:r>
    </w:p>
    <w:p w:rsidR="006C3B28" w:rsidRDefault="006C3B28" w:rsidP="00BD1331">
      <w:pPr>
        <w:pStyle w:val="ListParagraph"/>
        <w:spacing w:line="480" w:lineRule="auto"/>
      </w:pPr>
      <w:r>
        <w:t xml:space="preserve">Nuisance claims have an advantage over the CERCLA claims in the sense that in nuisance, the plaintiff is allowed to recover from the damages more. The chances of the plaintiff to gain more from the </w:t>
      </w:r>
      <w:r w:rsidR="00090A12">
        <w:t>injunctions</w:t>
      </w:r>
      <w:r>
        <w:t xml:space="preserve"> are also high. </w:t>
      </w:r>
    </w:p>
    <w:p w:rsidR="00090A12" w:rsidRDefault="00090A12" w:rsidP="00BD1331">
      <w:pPr>
        <w:pStyle w:val="ListParagraph"/>
        <w:spacing w:line="480" w:lineRule="auto"/>
      </w:pPr>
      <w:r>
        <w:t xml:space="preserve">The advantage over CERCLA that the nuisance claim offers a defendant is that they are only liable for the actual contamination that they shall have been found to have had </w:t>
      </w:r>
      <w:r w:rsidR="000D3BB3">
        <w:t>committed</w:t>
      </w:r>
      <w:r>
        <w:t xml:space="preserve">. </w:t>
      </w:r>
    </w:p>
    <w:p w:rsidR="00F1015A" w:rsidRDefault="00F1015A" w:rsidP="00BD1331">
      <w:pPr>
        <w:pStyle w:val="ListParagraph"/>
        <w:spacing w:line="480" w:lineRule="auto"/>
      </w:pPr>
      <w:r>
        <w:t xml:space="preserve">Under CERCLA, </w:t>
      </w:r>
      <w:r w:rsidR="005047F2">
        <w:t xml:space="preserve">the monitoring process of the cleanup of the hazardous waste is designed in a way that is easier. Besides, the balancing that is often associated with the </w:t>
      </w:r>
      <w:r w:rsidR="005047F2">
        <w:lastRenderedPageBreak/>
        <w:t xml:space="preserve">remedies under the nuisance law with </w:t>
      </w:r>
      <w:r w:rsidR="00F10023">
        <w:t>regards</w:t>
      </w:r>
      <w:r w:rsidR="005047F2">
        <w:t xml:space="preserve"> to the </w:t>
      </w:r>
      <w:r w:rsidR="00F10023">
        <w:t>costs</w:t>
      </w:r>
      <w:r w:rsidR="005047F2">
        <w:t xml:space="preserve"> and benefits are not required here. </w:t>
      </w:r>
    </w:p>
    <w:p w:rsidR="00973D8B" w:rsidRDefault="00973D8B" w:rsidP="00973D8B">
      <w:pPr>
        <w:pStyle w:val="ListParagraph"/>
        <w:numPr>
          <w:ilvl w:val="0"/>
          <w:numId w:val="1"/>
        </w:numPr>
        <w:spacing w:line="480" w:lineRule="auto"/>
      </w:pPr>
      <w:r>
        <w:t xml:space="preserve">The elements of </w:t>
      </w:r>
      <w:r w:rsidR="00761C3B">
        <w:t>interference</w:t>
      </w:r>
      <w:r>
        <w:t xml:space="preserve"> with</w:t>
      </w:r>
      <w:r w:rsidR="00761C3B">
        <w:t xml:space="preserve"> the</w:t>
      </w:r>
      <w:r>
        <w:t xml:space="preserve"> existing contractual relationships are as follows: there must be an existing agreement or instead contract, the person or rather the interfering party must have been </w:t>
      </w:r>
      <w:r w:rsidR="00761C3B">
        <w:t>aware</w:t>
      </w:r>
      <w:r>
        <w:t xml:space="preserve"> of the </w:t>
      </w:r>
      <w:r w:rsidR="00761C3B">
        <w:t>existence</w:t>
      </w:r>
      <w:r>
        <w:t xml:space="preserve"> of the contract and the </w:t>
      </w:r>
      <w:r w:rsidR="00761C3B">
        <w:t>interference</w:t>
      </w:r>
      <w:r>
        <w:t xml:space="preserve"> was intentional and was bound to bringing a breach of contracts and hinder the eventual results of the contract through its performance. </w:t>
      </w:r>
    </w:p>
    <w:p w:rsidR="009D71C3" w:rsidRDefault="009D71C3" w:rsidP="009D71C3">
      <w:pPr>
        <w:pStyle w:val="ListParagraph"/>
        <w:spacing w:line="480" w:lineRule="auto"/>
      </w:pPr>
      <w:r>
        <w:t xml:space="preserve">If a third party that has created the interference of the contract was </w:t>
      </w:r>
      <w:r w:rsidR="00B3248E">
        <w:t>given</w:t>
      </w:r>
      <w:r>
        <w:t xml:space="preserve"> money to do so then they shall have caused </w:t>
      </w:r>
      <w:r w:rsidR="00B3248E">
        <w:t>interference</w:t>
      </w:r>
      <w:r>
        <w:t xml:space="preserve"> with the </w:t>
      </w:r>
      <w:r w:rsidR="00B3248E">
        <w:t>existing</w:t>
      </w:r>
      <w:r>
        <w:t xml:space="preserve"> contractual relations. </w:t>
      </w:r>
      <w:r w:rsidR="00FD2765">
        <w:t xml:space="preserve">This is so because their actions were intentional and to make it worse, they did it for their personal gains without thinking of the plaintiff. </w:t>
      </w:r>
      <w:r w:rsidR="001545D4">
        <w:t xml:space="preserve">Therefore such a tort is </w:t>
      </w:r>
      <w:r w:rsidR="00B3248E">
        <w:t>committed</w:t>
      </w:r>
      <w:r w:rsidR="001545D4">
        <w:t xml:space="preserve"> if there are monetary affiliations to the third party causing the disruptions in the contract. </w:t>
      </w:r>
    </w:p>
    <w:p w:rsidR="00B3248E" w:rsidRDefault="00B3248E" w:rsidP="009D71C3">
      <w:pPr>
        <w:pStyle w:val="ListParagraph"/>
        <w:spacing w:line="480" w:lineRule="auto"/>
      </w:pPr>
      <w:r>
        <w:t xml:space="preserve">Contracts where the scope and the time </w:t>
      </w:r>
      <w:r w:rsidR="00510DEF">
        <w:t>frame</w:t>
      </w:r>
      <w:r>
        <w:t xml:space="preserve"> has not been clearly stipulated may not have this kind of tort affecting it in any </w:t>
      </w:r>
      <w:r w:rsidR="00D747BD">
        <w:t>way. This</w:t>
      </w:r>
      <w:r w:rsidR="00E50999">
        <w:t xml:space="preserve"> is so because, n such a case, a third party is not </w:t>
      </w:r>
      <w:r w:rsidR="00D747BD">
        <w:t>able</w:t>
      </w:r>
      <w:r w:rsidR="00E50999">
        <w:t xml:space="preserve"> to cause disruptions as they are not aware of the objective of the contract thus </w:t>
      </w:r>
      <w:r w:rsidR="00D747BD">
        <w:t>uncertainty</w:t>
      </w:r>
      <w:r w:rsidR="00E50999">
        <w:t xml:space="preserve"> in what to disrupt. </w:t>
      </w:r>
      <w:r>
        <w:t xml:space="preserve"> </w:t>
      </w:r>
    </w:p>
    <w:p w:rsidR="00D747BD" w:rsidRDefault="00D747BD" w:rsidP="009D71C3">
      <w:pPr>
        <w:pStyle w:val="ListParagraph"/>
        <w:spacing w:line="480" w:lineRule="auto"/>
      </w:pPr>
      <w:r>
        <w:t xml:space="preserve">In </w:t>
      </w:r>
      <w:r w:rsidR="00FD61D9">
        <w:t>such</w:t>
      </w:r>
      <w:r>
        <w:t xml:space="preserve"> a situation, the plaintiff stands a chance to </w:t>
      </w:r>
      <w:r w:rsidR="00FD61D9">
        <w:t>recover</w:t>
      </w:r>
      <w:r>
        <w:t xml:space="preserve"> the </w:t>
      </w:r>
      <w:r w:rsidR="00FD61D9">
        <w:t>monetary</w:t>
      </w:r>
      <w:r>
        <w:t xml:space="preserve"> damages that have </w:t>
      </w:r>
      <w:r w:rsidR="00FD61D9">
        <w:t>been</w:t>
      </w:r>
      <w:r>
        <w:t xml:space="preserve"> associated with the contract. If the defendant is found guilty of causing the disruptions, they </w:t>
      </w:r>
      <w:r w:rsidR="00FD61D9">
        <w:t>will</w:t>
      </w:r>
      <w:r>
        <w:t xml:space="preserve"> be charged with compensating the plaintiff for the monetary damages that arise from the case. </w:t>
      </w:r>
    </w:p>
    <w:p w:rsidR="00864631" w:rsidRDefault="00864631" w:rsidP="009D71C3">
      <w:pPr>
        <w:pStyle w:val="ListParagraph"/>
        <w:spacing w:line="480" w:lineRule="auto"/>
      </w:pPr>
      <w:r>
        <w:t xml:space="preserve">The defendant may be </w:t>
      </w:r>
      <w:r w:rsidR="00FD61D9">
        <w:t>privileged</w:t>
      </w:r>
      <w:r>
        <w:t xml:space="preserve"> to induce a breach of contract if the damages that have been caused by the </w:t>
      </w:r>
      <w:r w:rsidR="00FD61D9">
        <w:t>interference</w:t>
      </w:r>
      <w:r>
        <w:t xml:space="preserve"> affect both the plaintiff and the defendant. This is so because in this case, the third party meant to interrupt the contract and the </w:t>
      </w:r>
      <w:r w:rsidR="00FD61D9">
        <w:t>direct</w:t>
      </w:r>
      <w:r>
        <w:t xml:space="preserve"> </w:t>
      </w:r>
      <w:r>
        <w:lastRenderedPageBreak/>
        <w:t xml:space="preserve">implications of such actions </w:t>
      </w:r>
      <w:r w:rsidR="00FD61D9">
        <w:t>were</w:t>
      </w:r>
      <w:r>
        <w:t xml:space="preserve"> not clear. The defendant can therefore induce the concept of breach of contract. </w:t>
      </w:r>
    </w:p>
    <w:p w:rsidR="00FD61D9" w:rsidRDefault="00FD61D9" w:rsidP="00FD61D9">
      <w:pPr>
        <w:pStyle w:val="ListParagraph"/>
        <w:numPr>
          <w:ilvl w:val="0"/>
          <w:numId w:val="1"/>
        </w:numPr>
        <w:spacing w:line="480" w:lineRule="auto"/>
      </w:pPr>
      <w:r>
        <w:t xml:space="preserve">The difference between the </w:t>
      </w:r>
      <w:r w:rsidR="00700142">
        <w:t>two</w:t>
      </w:r>
      <w:r>
        <w:t xml:space="preserve"> is that an individual that chooses to interfere with an already existing contractual relationship is liable the pecuniary </w:t>
      </w:r>
      <w:r w:rsidR="00700142">
        <w:t>loss</w:t>
      </w:r>
      <w:r>
        <w:t xml:space="preserve"> resulting from</w:t>
      </w:r>
      <w:r w:rsidR="00700142">
        <w:t xml:space="preserve"> t</w:t>
      </w:r>
      <w:r>
        <w:t xml:space="preserve">his actions. On the other hand, one intending to interrupt a prospective contractual relationship is liable from the loss that would have been gotten as well as the profits. </w:t>
      </w:r>
    </w:p>
    <w:p w:rsidR="0025747F" w:rsidRDefault="0025747F" w:rsidP="00FD61D9">
      <w:pPr>
        <w:pStyle w:val="ListParagraph"/>
        <w:numPr>
          <w:ilvl w:val="0"/>
          <w:numId w:val="1"/>
        </w:numPr>
        <w:spacing w:line="480" w:lineRule="auto"/>
      </w:pPr>
      <w:r>
        <w:t xml:space="preserve">The elements of malicious prosecution are as follows: </w:t>
      </w:r>
      <w:r w:rsidR="008960AA">
        <w:t xml:space="preserve">the institution or continuation of legal proceeding is against the plaintiff. The </w:t>
      </w:r>
      <w:r w:rsidR="00700142">
        <w:t>defendant</w:t>
      </w:r>
      <w:r w:rsidR="008960AA">
        <w:t xml:space="preserve"> has caused it or rather is </w:t>
      </w:r>
      <w:r w:rsidR="00700142">
        <w:t>abetted</w:t>
      </w:r>
      <w:r w:rsidR="008960AA">
        <w:t xml:space="preserve"> by the </w:t>
      </w:r>
      <w:r w:rsidR="00700142">
        <w:t>defendant;</w:t>
      </w:r>
      <w:r w:rsidR="008960AA">
        <w:t xml:space="preserve"> the prior proceeding has been</w:t>
      </w:r>
      <w:r w:rsidR="00700142">
        <w:t xml:space="preserve"> </w:t>
      </w:r>
      <w:r w:rsidR="008960AA">
        <w:t xml:space="preserve">terminated in favor of the plaintiff. </w:t>
      </w:r>
      <w:r w:rsidR="00A444BB">
        <w:t>The</w:t>
      </w:r>
      <w:r w:rsidR="00700142">
        <w:t xml:space="preserve"> </w:t>
      </w:r>
      <w:r w:rsidR="00A444BB">
        <w:t xml:space="preserve">prior action is as a result of malice. </w:t>
      </w:r>
      <w:r w:rsidR="00927CD8">
        <w:t xml:space="preserve">The prior action led to injuries and damages to the plaintiff. </w:t>
      </w:r>
    </w:p>
    <w:p w:rsidR="00700142" w:rsidRDefault="00700142" w:rsidP="00700142">
      <w:pPr>
        <w:pStyle w:val="ListParagraph"/>
        <w:spacing w:line="480" w:lineRule="auto"/>
      </w:pPr>
      <w:r>
        <w:t xml:space="preserve">The most difficult element to prove is the termination of the proceeding in favor of the plaintiff. It is difficult to prove since there are many reasons that could have led to the termination of the case and thus asserting that it was in favor of the plaintiff is wrong. </w:t>
      </w:r>
    </w:p>
    <w:p w:rsidR="002416F8" w:rsidRDefault="002416F8" w:rsidP="00700142">
      <w:pPr>
        <w:pStyle w:val="ListParagraph"/>
        <w:spacing w:line="480" w:lineRule="auto"/>
      </w:pPr>
      <w:r>
        <w:t xml:space="preserve">They are </w:t>
      </w:r>
      <w:r w:rsidR="00411E34">
        <w:t>rarely</w:t>
      </w:r>
      <w:r>
        <w:t xml:space="preserve"> prosecuted because a civil case that has had malicious prosecution does not have the provision for one to sue. This is so because the defendant beats a criminal case. </w:t>
      </w:r>
    </w:p>
    <w:p w:rsidR="00CC7236" w:rsidRDefault="00CC7236" w:rsidP="00CC7236">
      <w:pPr>
        <w:pStyle w:val="ListParagraph"/>
        <w:numPr>
          <w:ilvl w:val="0"/>
          <w:numId w:val="1"/>
        </w:numPr>
        <w:spacing w:line="480" w:lineRule="auto"/>
      </w:pPr>
      <w:r>
        <w:t xml:space="preserve">Notably, if a plaintiff brings about the issue of wrongful institution of civil proceedings, they have to prove that </w:t>
      </w:r>
      <w:r w:rsidR="0047332C">
        <w:t>the</w:t>
      </w:r>
      <w:r>
        <w:t xml:space="preserve"> defendant had earlier on instituted a </w:t>
      </w:r>
      <w:r w:rsidR="0047332C">
        <w:t>prior</w:t>
      </w:r>
      <w:r>
        <w:t xml:space="preserve"> civil action and the objective and subjective cause for the same were vague</w:t>
      </w:r>
      <w:r w:rsidR="00B048F9">
        <w:t xml:space="preserve"> and in addition to that, caused by malice leading to the damages </w:t>
      </w:r>
      <w:r w:rsidR="0047332C">
        <w:t>bearded</w:t>
      </w:r>
      <w:r w:rsidR="00B048F9">
        <w:t xml:space="preserve"> by the plaintiff. </w:t>
      </w:r>
      <w:r w:rsidR="007F1B9F">
        <w:t xml:space="preserve">However, in malicious </w:t>
      </w:r>
      <w:r w:rsidR="0047332C">
        <w:t>prosecution</w:t>
      </w:r>
      <w:r w:rsidR="007F1B9F">
        <w:t xml:space="preserve">, </w:t>
      </w:r>
      <w:r w:rsidR="003F0BD8">
        <w:t xml:space="preserve">there must be the malicious institution of proceedings against another personable under unclear circumstances. </w:t>
      </w:r>
    </w:p>
    <w:p w:rsidR="00817564" w:rsidRDefault="00817564" w:rsidP="00CC7236">
      <w:pPr>
        <w:pStyle w:val="ListParagraph"/>
        <w:numPr>
          <w:ilvl w:val="0"/>
          <w:numId w:val="1"/>
        </w:numPr>
        <w:spacing w:line="480" w:lineRule="auto"/>
      </w:pPr>
      <w:r>
        <w:lastRenderedPageBreak/>
        <w:t xml:space="preserve">One is considered to b liable for abuse of process if they have improper use of the legal procedures and the intentions are as well perverse or malicious. </w:t>
      </w:r>
      <w:r w:rsidR="001843DF">
        <w:t xml:space="preserve">The wrong use of the legal procedures amounts to abuse of </w:t>
      </w:r>
      <w:r w:rsidR="00862BAE">
        <w:t>procedure</w:t>
      </w:r>
      <w:r w:rsidR="001843DF">
        <w:t xml:space="preserve">. </w:t>
      </w:r>
    </w:p>
    <w:p w:rsidR="00B306A8" w:rsidRDefault="00B306A8" w:rsidP="00B306A8">
      <w:pPr>
        <w:spacing w:line="480" w:lineRule="auto"/>
      </w:pPr>
    </w:p>
    <w:p w:rsidR="00B306A8" w:rsidRDefault="00B306A8" w:rsidP="00B306A8">
      <w:pPr>
        <w:spacing w:line="480" w:lineRule="auto"/>
        <w:jc w:val="center"/>
      </w:pPr>
      <w:r>
        <w:t xml:space="preserve">Works Cited </w:t>
      </w:r>
    </w:p>
    <w:p w:rsidR="00A8140A" w:rsidRPr="00A8140A" w:rsidRDefault="00A8140A" w:rsidP="00A8140A">
      <w:pPr>
        <w:spacing w:line="480" w:lineRule="auto"/>
        <w:ind w:left="720" w:hanging="720"/>
        <w:rPr>
          <w:rFonts w:cs="Times New Roman"/>
          <w:color w:val="222222"/>
          <w:szCs w:val="24"/>
          <w:shd w:val="clear" w:color="auto" w:fill="FFFFFF"/>
        </w:rPr>
      </w:pPr>
      <w:r w:rsidRPr="00A8140A">
        <w:rPr>
          <w:rFonts w:cs="Times New Roman"/>
          <w:color w:val="222222"/>
          <w:szCs w:val="24"/>
          <w:shd w:val="clear" w:color="auto" w:fill="FFFFFF"/>
        </w:rPr>
        <w:t>Abraham, Kenneth. </w:t>
      </w:r>
      <w:r w:rsidRPr="00A8140A">
        <w:rPr>
          <w:rFonts w:cs="Times New Roman"/>
          <w:i/>
          <w:iCs/>
          <w:color w:val="222222"/>
          <w:szCs w:val="24"/>
          <w:shd w:val="clear" w:color="auto" w:fill="FFFFFF"/>
        </w:rPr>
        <w:t>The forms and functions of tort law</w:t>
      </w:r>
      <w:r w:rsidRPr="00A8140A">
        <w:rPr>
          <w:rFonts w:cs="Times New Roman"/>
          <w:color w:val="222222"/>
          <w:szCs w:val="24"/>
          <w:shd w:val="clear" w:color="auto" w:fill="FFFFFF"/>
        </w:rPr>
        <w:t>. West Academic, 2017.</w:t>
      </w:r>
    </w:p>
    <w:p w:rsidR="00A8140A" w:rsidRPr="00A8140A" w:rsidRDefault="00A8140A" w:rsidP="00A8140A">
      <w:pPr>
        <w:spacing w:line="480" w:lineRule="auto"/>
        <w:ind w:left="720" w:hanging="720"/>
        <w:rPr>
          <w:rFonts w:cs="Times New Roman"/>
          <w:color w:val="222222"/>
          <w:szCs w:val="24"/>
          <w:shd w:val="clear" w:color="auto" w:fill="FFFFFF"/>
        </w:rPr>
      </w:pPr>
      <w:r w:rsidRPr="00A8140A">
        <w:rPr>
          <w:rFonts w:cs="Times New Roman"/>
          <w:color w:val="222222"/>
          <w:szCs w:val="24"/>
          <w:shd w:val="clear" w:color="auto" w:fill="FFFFFF"/>
        </w:rPr>
        <w:t>Allen, William T., and Reinier Kraakman. </w:t>
      </w:r>
      <w:r w:rsidRPr="00A8140A">
        <w:rPr>
          <w:rFonts w:cs="Times New Roman"/>
          <w:i/>
          <w:iCs/>
          <w:color w:val="222222"/>
          <w:szCs w:val="24"/>
          <w:shd w:val="clear" w:color="auto" w:fill="FFFFFF"/>
        </w:rPr>
        <w:t>Commentaries and cases on the law of business organization</w:t>
      </w:r>
      <w:r w:rsidRPr="00A8140A">
        <w:rPr>
          <w:rFonts w:cs="Times New Roman"/>
          <w:color w:val="222222"/>
          <w:szCs w:val="24"/>
          <w:shd w:val="clear" w:color="auto" w:fill="FFFFFF"/>
        </w:rPr>
        <w:t>. Wolters Kluwer law &amp; business, 2016.</w:t>
      </w:r>
    </w:p>
    <w:p w:rsidR="00A8140A" w:rsidRPr="00A8140A" w:rsidRDefault="00A8140A" w:rsidP="00A8140A">
      <w:pPr>
        <w:spacing w:line="480" w:lineRule="auto"/>
        <w:ind w:left="720" w:hanging="720"/>
        <w:rPr>
          <w:rFonts w:cs="Times New Roman"/>
          <w:color w:val="222222"/>
          <w:szCs w:val="24"/>
          <w:shd w:val="clear" w:color="auto" w:fill="FFFFFF"/>
        </w:rPr>
      </w:pPr>
      <w:r w:rsidRPr="00A8140A">
        <w:rPr>
          <w:rFonts w:cs="Times New Roman"/>
          <w:color w:val="222222"/>
          <w:szCs w:val="24"/>
          <w:shd w:val="clear" w:color="auto" w:fill="FFFFFF"/>
        </w:rPr>
        <w:t>Epstein, Richard A. "The Common Law Foundations of the Takings Clause: The Disconnect Between Public and Private Law." </w:t>
      </w:r>
      <w:r w:rsidRPr="00A8140A">
        <w:rPr>
          <w:rFonts w:cs="Times New Roman"/>
          <w:i/>
          <w:iCs/>
          <w:color w:val="222222"/>
          <w:szCs w:val="24"/>
          <w:shd w:val="clear" w:color="auto" w:fill="FFFFFF"/>
        </w:rPr>
        <w:t>Touro L. Rev.</w:t>
      </w:r>
      <w:r w:rsidRPr="00A8140A">
        <w:rPr>
          <w:rFonts w:cs="Times New Roman"/>
          <w:color w:val="222222"/>
          <w:szCs w:val="24"/>
          <w:shd w:val="clear" w:color="auto" w:fill="FFFFFF"/>
        </w:rPr>
        <w:t> 30 (2014): 265.</w:t>
      </w:r>
    </w:p>
    <w:p w:rsidR="00A8140A" w:rsidRPr="00A8140A" w:rsidRDefault="00A8140A" w:rsidP="00A8140A">
      <w:pPr>
        <w:spacing w:line="480" w:lineRule="auto"/>
        <w:ind w:left="720" w:hanging="720"/>
        <w:rPr>
          <w:rFonts w:cs="Times New Roman"/>
          <w:szCs w:val="24"/>
        </w:rPr>
      </w:pPr>
      <w:r w:rsidRPr="00A8140A">
        <w:rPr>
          <w:rFonts w:cs="Times New Roman"/>
          <w:color w:val="222222"/>
          <w:szCs w:val="24"/>
          <w:shd w:val="clear" w:color="auto" w:fill="FFFFFF"/>
        </w:rPr>
        <w:t>Gaba, Jeffrey M. "The Private Causes of Action under CERCLA: Navigating the Intersection of Sections 107 (a) and 113 (f)." (2015).</w:t>
      </w:r>
    </w:p>
    <w:sectPr w:rsidR="00A8140A" w:rsidRPr="00A8140A" w:rsidSect="00B81030">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E6144" w:rsidRDefault="00EE6144" w:rsidP="00303E85">
      <w:pPr>
        <w:spacing w:after="0" w:line="240" w:lineRule="auto"/>
      </w:pPr>
      <w:r>
        <w:separator/>
      </w:r>
    </w:p>
  </w:endnote>
  <w:endnote w:type="continuationSeparator" w:id="0">
    <w:p w:rsidR="00EE6144" w:rsidRDefault="00EE6144" w:rsidP="00303E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E6144" w:rsidRDefault="00EE6144" w:rsidP="00303E85">
      <w:pPr>
        <w:spacing w:after="0" w:line="240" w:lineRule="auto"/>
      </w:pPr>
      <w:r>
        <w:separator/>
      </w:r>
    </w:p>
  </w:footnote>
  <w:footnote w:type="continuationSeparator" w:id="0">
    <w:p w:rsidR="00EE6144" w:rsidRDefault="00EE6144" w:rsidP="00303E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1B9F" w:rsidRDefault="007F1B9F">
    <w:pPr>
      <w:pStyle w:val="Header"/>
      <w:jc w:val="right"/>
    </w:pPr>
    <w:r>
      <w:t xml:space="preserve">Surname </w:t>
    </w:r>
    <w:sdt>
      <w:sdtPr>
        <w:id w:val="127436938"/>
        <w:docPartObj>
          <w:docPartGallery w:val="Page Numbers (Top of Page)"/>
          <w:docPartUnique/>
        </w:docPartObj>
      </w:sdtPr>
      <w:sdtEndPr/>
      <w:sdtContent>
        <w:r w:rsidR="00EE6144">
          <w:fldChar w:fldCharType="begin"/>
        </w:r>
        <w:r w:rsidR="00EE6144">
          <w:instrText xml:space="preserve"> PAGE   \* MERGEFORMAT </w:instrText>
        </w:r>
        <w:r w:rsidR="00EE6144">
          <w:fldChar w:fldCharType="separate"/>
        </w:r>
        <w:r w:rsidR="00F8226F">
          <w:rPr>
            <w:noProof/>
          </w:rPr>
          <w:t>1</w:t>
        </w:r>
        <w:r w:rsidR="00EE6144">
          <w:rPr>
            <w:noProof/>
          </w:rPr>
          <w:fldChar w:fldCharType="end"/>
        </w:r>
      </w:sdtContent>
    </w:sdt>
  </w:p>
  <w:p w:rsidR="007F1B9F" w:rsidRDefault="007F1B9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8FA5632"/>
    <w:multiLevelType w:val="hybridMultilevel"/>
    <w:tmpl w:val="1C9620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3E85"/>
    <w:rsid w:val="00005177"/>
    <w:rsid w:val="000058A7"/>
    <w:rsid w:val="00051034"/>
    <w:rsid w:val="00090A12"/>
    <w:rsid w:val="000A0A89"/>
    <w:rsid w:val="000B65B8"/>
    <w:rsid w:val="000D3BB3"/>
    <w:rsid w:val="000F6D97"/>
    <w:rsid w:val="001545D4"/>
    <w:rsid w:val="00157822"/>
    <w:rsid w:val="001630C1"/>
    <w:rsid w:val="001843DF"/>
    <w:rsid w:val="00193F70"/>
    <w:rsid w:val="001C4303"/>
    <w:rsid w:val="001D3794"/>
    <w:rsid w:val="0020301C"/>
    <w:rsid w:val="002377B0"/>
    <w:rsid w:val="002416F8"/>
    <w:rsid w:val="0025747F"/>
    <w:rsid w:val="002658A3"/>
    <w:rsid w:val="00271552"/>
    <w:rsid w:val="00287701"/>
    <w:rsid w:val="00287C5F"/>
    <w:rsid w:val="002B73E5"/>
    <w:rsid w:val="002D16A1"/>
    <w:rsid w:val="002D1BFA"/>
    <w:rsid w:val="002E2E77"/>
    <w:rsid w:val="00303E85"/>
    <w:rsid w:val="003372E2"/>
    <w:rsid w:val="00391160"/>
    <w:rsid w:val="003A074E"/>
    <w:rsid w:val="003A254A"/>
    <w:rsid w:val="003C151B"/>
    <w:rsid w:val="003D7FED"/>
    <w:rsid w:val="003F0BD8"/>
    <w:rsid w:val="003F6D90"/>
    <w:rsid w:val="00411E34"/>
    <w:rsid w:val="00417014"/>
    <w:rsid w:val="0047332C"/>
    <w:rsid w:val="00480605"/>
    <w:rsid w:val="00481001"/>
    <w:rsid w:val="0048770B"/>
    <w:rsid w:val="004B01DC"/>
    <w:rsid w:val="004C4F2C"/>
    <w:rsid w:val="004E7EB1"/>
    <w:rsid w:val="005009A4"/>
    <w:rsid w:val="005021E8"/>
    <w:rsid w:val="005047F2"/>
    <w:rsid w:val="00510DEF"/>
    <w:rsid w:val="005256D3"/>
    <w:rsid w:val="00573FB7"/>
    <w:rsid w:val="0060282A"/>
    <w:rsid w:val="00684329"/>
    <w:rsid w:val="006C3B28"/>
    <w:rsid w:val="006E266E"/>
    <w:rsid w:val="006F1AAD"/>
    <w:rsid w:val="00700142"/>
    <w:rsid w:val="00761C3B"/>
    <w:rsid w:val="00767D66"/>
    <w:rsid w:val="00774513"/>
    <w:rsid w:val="007A4DED"/>
    <w:rsid w:val="007E5E4B"/>
    <w:rsid w:val="007F0806"/>
    <w:rsid w:val="007F1595"/>
    <w:rsid w:val="007F1B9F"/>
    <w:rsid w:val="007F4931"/>
    <w:rsid w:val="008025F3"/>
    <w:rsid w:val="00817564"/>
    <w:rsid w:val="00837379"/>
    <w:rsid w:val="00862BAE"/>
    <w:rsid w:val="00864631"/>
    <w:rsid w:val="0088008B"/>
    <w:rsid w:val="00892298"/>
    <w:rsid w:val="008960AA"/>
    <w:rsid w:val="008B192C"/>
    <w:rsid w:val="00911EC1"/>
    <w:rsid w:val="00927CD8"/>
    <w:rsid w:val="00973D8B"/>
    <w:rsid w:val="00994B5A"/>
    <w:rsid w:val="009B2944"/>
    <w:rsid w:val="009B66D2"/>
    <w:rsid w:val="009D71C3"/>
    <w:rsid w:val="009F545F"/>
    <w:rsid w:val="00A15365"/>
    <w:rsid w:val="00A444BB"/>
    <w:rsid w:val="00A44D07"/>
    <w:rsid w:val="00A8140A"/>
    <w:rsid w:val="00AE7071"/>
    <w:rsid w:val="00B048F9"/>
    <w:rsid w:val="00B231A5"/>
    <w:rsid w:val="00B306A8"/>
    <w:rsid w:val="00B3248E"/>
    <w:rsid w:val="00B44DED"/>
    <w:rsid w:val="00B81030"/>
    <w:rsid w:val="00B84A41"/>
    <w:rsid w:val="00BA5B35"/>
    <w:rsid w:val="00BD1331"/>
    <w:rsid w:val="00C13F56"/>
    <w:rsid w:val="00C20533"/>
    <w:rsid w:val="00C256AB"/>
    <w:rsid w:val="00C41F59"/>
    <w:rsid w:val="00C67E08"/>
    <w:rsid w:val="00C7456B"/>
    <w:rsid w:val="00C75C6B"/>
    <w:rsid w:val="00CB6ACC"/>
    <w:rsid w:val="00CC7236"/>
    <w:rsid w:val="00CF4BA0"/>
    <w:rsid w:val="00D212D0"/>
    <w:rsid w:val="00D747BD"/>
    <w:rsid w:val="00D756CB"/>
    <w:rsid w:val="00D7780F"/>
    <w:rsid w:val="00D82E88"/>
    <w:rsid w:val="00D97522"/>
    <w:rsid w:val="00D97F08"/>
    <w:rsid w:val="00DA49AE"/>
    <w:rsid w:val="00DE71B4"/>
    <w:rsid w:val="00DF079D"/>
    <w:rsid w:val="00E24204"/>
    <w:rsid w:val="00E3148F"/>
    <w:rsid w:val="00E44857"/>
    <w:rsid w:val="00E45162"/>
    <w:rsid w:val="00E45AA4"/>
    <w:rsid w:val="00E50999"/>
    <w:rsid w:val="00EA7DD2"/>
    <w:rsid w:val="00EE6144"/>
    <w:rsid w:val="00F10023"/>
    <w:rsid w:val="00F1015A"/>
    <w:rsid w:val="00F10883"/>
    <w:rsid w:val="00F20C3E"/>
    <w:rsid w:val="00F3007A"/>
    <w:rsid w:val="00F55928"/>
    <w:rsid w:val="00F67299"/>
    <w:rsid w:val="00F81A9C"/>
    <w:rsid w:val="00F8226F"/>
    <w:rsid w:val="00FA4E86"/>
    <w:rsid w:val="00FC32EF"/>
    <w:rsid w:val="00FD2765"/>
    <w:rsid w:val="00FD61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4736727-DF65-4B4C-BE6F-5B7CDEAD31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8103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3E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3E85"/>
  </w:style>
  <w:style w:type="paragraph" w:styleId="Footer">
    <w:name w:val="footer"/>
    <w:basedOn w:val="Normal"/>
    <w:link w:val="FooterChar"/>
    <w:uiPriority w:val="99"/>
    <w:semiHidden/>
    <w:unhideWhenUsed/>
    <w:rsid w:val="00303E8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03E85"/>
  </w:style>
  <w:style w:type="paragraph" w:styleId="ListParagraph">
    <w:name w:val="List Paragraph"/>
    <w:basedOn w:val="Normal"/>
    <w:uiPriority w:val="34"/>
    <w:qFormat/>
    <w:rsid w:val="00BA5B3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2711</Words>
  <Characters>15453</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Khalijones</dc:creator>
  <cp:lastModifiedBy>morris mbithi</cp:lastModifiedBy>
  <cp:revision>2</cp:revision>
  <dcterms:created xsi:type="dcterms:W3CDTF">2017-12-13T16:30:00Z</dcterms:created>
  <dcterms:modified xsi:type="dcterms:W3CDTF">2017-12-13T16:30:00Z</dcterms:modified>
</cp:coreProperties>
</file>