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Rule="auto"/>
        <w:rPr>
          <w:b w:val="1"/>
          <w:sz w:val="18"/>
          <w:szCs w:val="18"/>
        </w:rPr>
      </w:pPr>
      <w:r w:rsidDel="00000000" w:rsidR="00000000" w:rsidRPr="00000000">
        <w:rPr>
          <w:b w:val="1"/>
          <w:sz w:val="18"/>
          <w:szCs w:val="18"/>
          <w:rtl w:val="0"/>
        </w:rPr>
        <w:t xml:space="preserve">Assessed Task</w:t>
      </w:r>
    </w:p>
    <w:p w:rsidR="00000000" w:rsidDel="00000000" w:rsidP="00000000" w:rsidRDefault="00000000" w:rsidRPr="00000000" w14:paraId="00000002">
      <w:pPr>
        <w:spacing w:after="100" w:lineRule="auto"/>
        <w:rPr>
          <w:b w:val="1"/>
          <w:sz w:val="18"/>
          <w:szCs w:val="18"/>
        </w:rPr>
      </w:pPr>
      <w:r w:rsidDel="00000000" w:rsidR="00000000" w:rsidRPr="00000000">
        <w:rPr>
          <w:b w:val="1"/>
          <w:sz w:val="18"/>
          <w:szCs w:val="18"/>
          <w:rtl w:val="0"/>
        </w:rPr>
        <w:t xml:space="preserve">Please read the following facts carefully, then answer the questions that follow:</w:t>
      </w:r>
    </w:p>
    <w:p w:rsidR="00000000" w:rsidDel="00000000" w:rsidP="00000000" w:rsidRDefault="00000000" w:rsidRPr="00000000" w14:paraId="00000003">
      <w:pPr>
        <w:shd w:fill="ffffff" w:val="clear"/>
        <w:spacing w:after="100" w:lineRule="auto"/>
        <w:rPr>
          <w:sz w:val="18"/>
          <w:szCs w:val="18"/>
        </w:rPr>
      </w:pPr>
      <w:r w:rsidDel="00000000" w:rsidR="00000000" w:rsidRPr="00000000">
        <w:rPr>
          <w:sz w:val="18"/>
          <w:szCs w:val="18"/>
          <w:rtl w:val="0"/>
        </w:rPr>
        <w:t xml:space="preserve">Anyshire County Council had plans in place to build a series of houses that would provide sheltered accommodation for the elderly.  Work was well advanced on certain parts of the scheme, and to make further progress on the progress it was necessary to demolish a derelict Victorian Mill.  </w:t>
      </w:r>
    </w:p>
    <w:p w:rsidR="00000000" w:rsidDel="00000000" w:rsidP="00000000" w:rsidRDefault="00000000" w:rsidRPr="00000000" w14:paraId="00000004">
      <w:pPr>
        <w:spacing w:after="100" w:lineRule="auto"/>
        <w:rPr>
          <w:sz w:val="18"/>
          <w:szCs w:val="18"/>
        </w:rPr>
      </w:pPr>
      <w:r w:rsidDel="00000000" w:rsidR="00000000" w:rsidRPr="00000000">
        <w:rPr>
          <w:sz w:val="18"/>
          <w:szCs w:val="18"/>
          <w:highlight w:val="white"/>
          <w:rtl w:val="0"/>
        </w:rPr>
        <w:t xml:space="preserve">The contract for the demolition work was given to K</w:t>
      </w:r>
      <w:r w:rsidDel="00000000" w:rsidR="00000000" w:rsidRPr="00000000">
        <w:rPr>
          <w:sz w:val="18"/>
          <w:szCs w:val="18"/>
          <w:rtl w:val="0"/>
        </w:rPr>
        <w:t xml:space="preserve">aboom Ltd, a demolition company that specialises in the demolition of large industrial buildings, despite the fact that Anyshire County Council was aware several claims had been lodged against the company in the past by employees and members of the public harmed during previous demolitions it had been responsible for.  The company was managed by a Mr Slate.    </w:t>
      </w:r>
    </w:p>
    <w:p w:rsidR="00000000" w:rsidDel="00000000" w:rsidP="00000000" w:rsidRDefault="00000000" w:rsidRPr="00000000" w14:paraId="00000005">
      <w:pPr>
        <w:spacing w:after="100" w:lineRule="auto"/>
        <w:rPr>
          <w:sz w:val="18"/>
          <w:szCs w:val="18"/>
        </w:rPr>
      </w:pPr>
      <w:r w:rsidDel="00000000" w:rsidR="00000000" w:rsidRPr="00000000">
        <w:rPr>
          <w:sz w:val="18"/>
          <w:szCs w:val="18"/>
          <w:rtl w:val="0"/>
        </w:rPr>
        <w:t xml:space="preserve">On the day the demolition was due to be carried out, several of Mr Slate’s employees – including Barney Rubble and Perry Masonry - arrived at the demolition site to find both Mr Slate and a local news team were already there.  Mr Slate advised his employee’s that he had arranged for the demolition to be broadcast live because he believed it would generate good publicity for his business.  He also advised his employees that:</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sz w:val="18"/>
          <w:szCs w:val="18"/>
          <w:rtl w:val="0"/>
        </w:rPr>
        <w:t xml:space="preserve">The news crew would be taking shots of the team as they prepared to demolish the building.  Therefore, Mr Slate said, they should not wear hard hats whilst on site because it would look more natural that way; and.</w:t>
      </w:r>
    </w:p>
    <w:p w:rsidR="00000000" w:rsidDel="00000000" w:rsidP="00000000" w:rsidRDefault="00000000" w:rsidRPr="00000000" w14:paraId="00000007">
      <w:pPr>
        <w:numPr>
          <w:ilvl w:val="0"/>
          <w:numId w:val="4"/>
        </w:numPr>
        <w:spacing w:after="340" w:before="0" w:beforeAutospacing="0" w:lineRule="auto"/>
        <w:ind w:left="720" w:hanging="360"/>
      </w:pPr>
      <w:r w:rsidDel="00000000" w:rsidR="00000000" w:rsidRPr="00000000">
        <w:rPr>
          <w:sz w:val="18"/>
          <w:szCs w:val="18"/>
          <w:highlight w:val="white"/>
          <w:rtl w:val="0"/>
        </w:rPr>
        <w:t xml:space="preserve">Wilma, one of the TV station’s news reporters, will press the button to detonate the explosive charges in the building at exactly 12:30pm; right in the middle of the local news bulletin.   </w:t>
      </w:r>
    </w:p>
    <w:p w:rsidR="00000000" w:rsidDel="00000000" w:rsidP="00000000" w:rsidRDefault="00000000" w:rsidRPr="00000000" w14:paraId="00000008">
      <w:pPr>
        <w:spacing w:after="100" w:lineRule="auto"/>
        <w:rPr>
          <w:sz w:val="18"/>
          <w:szCs w:val="18"/>
        </w:rPr>
      </w:pPr>
      <w:r w:rsidDel="00000000" w:rsidR="00000000" w:rsidRPr="00000000">
        <w:rPr>
          <w:sz w:val="18"/>
          <w:szCs w:val="18"/>
          <w:rtl w:val="0"/>
        </w:rPr>
        <w:t xml:space="preserve">Several of Mr Slate’s employees, including Barney, expressed concerns about the decision that employee’s should not wear hard hats; however, they are advised by Mr Slate that it was an order and there was nothing he could do about it.  </w:t>
      </w:r>
    </w:p>
    <w:p w:rsidR="00000000" w:rsidDel="00000000" w:rsidP="00000000" w:rsidRDefault="00000000" w:rsidRPr="00000000" w14:paraId="00000009">
      <w:pPr>
        <w:shd w:fill="ffffff" w:val="clear"/>
        <w:spacing w:after="100" w:lineRule="auto"/>
        <w:rPr>
          <w:sz w:val="18"/>
          <w:szCs w:val="18"/>
        </w:rPr>
      </w:pPr>
      <w:r w:rsidDel="00000000" w:rsidR="00000000" w:rsidRPr="00000000">
        <w:rPr>
          <w:sz w:val="18"/>
          <w:szCs w:val="18"/>
          <w:rtl w:val="0"/>
        </w:rPr>
        <w:t xml:space="preserve">Finally, Mr Slate tells his team to ensure that they have completed their final checks and reported back to him by 12:25pm so that the explosion can take place on time.  He then sent his employees off to complete their respective jobs.  At 12.25pm Mr Slate is advised by Perry that he has completed his checks, that the demolition site is clear, and that it is safe to go ahead with the detonation as planned.  This statement was inaccurate as Barney was still in the building completing his pre-detonation checks.  </w:t>
      </w:r>
    </w:p>
    <w:p w:rsidR="00000000" w:rsidDel="00000000" w:rsidP="00000000" w:rsidRDefault="00000000" w:rsidRPr="00000000" w14:paraId="0000000A">
      <w:pPr>
        <w:spacing w:after="100" w:lineRule="auto"/>
        <w:rPr>
          <w:sz w:val="18"/>
          <w:szCs w:val="18"/>
        </w:rPr>
      </w:pPr>
      <w:r w:rsidDel="00000000" w:rsidR="00000000" w:rsidRPr="00000000">
        <w:rPr>
          <w:sz w:val="18"/>
          <w:szCs w:val="18"/>
          <w:rtl w:val="0"/>
        </w:rPr>
        <w:t xml:space="preserve">Just before 12:30, Barney exited the building and begin to walk toward the designated safe zone that was located around 300 metres from the building.  Whilst he knew he was a few minutes late leaving the building, he was not concerned because he knew that a warning hooter is always sounded thirty seconds before the explosives are detonated.  </w:t>
      </w:r>
    </w:p>
    <w:p w:rsidR="00000000" w:rsidDel="00000000" w:rsidP="00000000" w:rsidRDefault="00000000" w:rsidRPr="00000000" w14:paraId="0000000B">
      <w:pPr>
        <w:spacing w:after="100" w:lineRule="auto"/>
        <w:jc w:val="both"/>
        <w:rPr>
          <w:sz w:val="18"/>
          <w:szCs w:val="18"/>
        </w:rPr>
      </w:pPr>
      <w:r w:rsidDel="00000000" w:rsidR="00000000" w:rsidRPr="00000000">
        <w:rPr>
          <w:sz w:val="18"/>
          <w:szCs w:val="18"/>
          <w:rtl w:val="0"/>
        </w:rPr>
        <w:t xml:space="preserve">At exactly 12.30, on a cue from the newsreader in the TV studio, Wilma hits the button to detonate the explosive charges without waiting for the hooter to be sounded.  At this point Barney was only 50m from the building.  Barney suffered a serious head injury when he was hit in the head by a piece of flying masonry.  </w:t>
      </w:r>
    </w:p>
    <w:p w:rsidR="00000000" w:rsidDel="00000000" w:rsidP="00000000" w:rsidRDefault="00000000" w:rsidRPr="00000000" w14:paraId="0000000C">
      <w:pPr>
        <w:spacing w:after="100" w:lineRule="auto"/>
        <w:jc w:val="both"/>
        <w:rPr>
          <w:sz w:val="18"/>
          <w:szCs w:val="18"/>
        </w:rPr>
      </w:pPr>
      <w:r w:rsidDel="00000000" w:rsidR="00000000" w:rsidRPr="00000000">
        <w:rPr>
          <w:sz w:val="18"/>
          <w:szCs w:val="18"/>
          <w:rtl w:val="0"/>
        </w:rPr>
        <w:t xml:space="preserve">Fred Flintstone, a member of the public who was nearby watching the detonation suffered injury when he was knocked over by the force of the explosion.  It seems Fred was only 100m away from the building when it was detonated, but Kaboom Ltd should have set up a safety cordon of around 350m for anyone not part of the demolition team. </w:t>
      </w:r>
    </w:p>
    <w:p w:rsidR="00000000" w:rsidDel="00000000" w:rsidP="00000000" w:rsidRDefault="00000000" w:rsidRPr="00000000" w14:paraId="0000000D">
      <w:pPr>
        <w:spacing w:after="100" w:lineRule="auto"/>
        <w:jc w:val="both"/>
        <w:rPr>
          <w:sz w:val="18"/>
          <w:szCs w:val="18"/>
        </w:rPr>
      </w:pPr>
      <w:r w:rsidDel="00000000" w:rsidR="00000000" w:rsidRPr="00000000">
        <w:rPr>
          <w:sz w:val="18"/>
          <w:szCs w:val="18"/>
          <w:rtl w:val="0"/>
        </w:rPr>
        <w:t xml:space="preserve">Both Fred and Barney want to seek compensation for the injuries they have suffered.  Barney plans to sue Kaboom Ltd as his employer.  Fred had initially planned to sue Kaboom Ltd as well, but has since discovered they did not have public liability insurance in place at the material time.  Consequently, Fred plans to sue Anyshire County Council as occupiers of the Victorian Mill Kaboom Ltd was hired to demolish.</w:t>
      </w:r>
    </w:p>
    <w:p w:rsidR="00000000" w:rsidDel="00000000" w:rsidP="00000000" w:rsidRDefault="00000000" w:rsidRPr="00000000" w14:paraId="0000000E">
      <w:pPr>
        <w:shd w:fill="ffffff" w:val="clear"/>
        <w:spacing w:after="100" w:lineRule="auto"/>
        <w:jc w:val="both"/>
        <w:rPr>
          <w:sz w:val="18"/>
          <w:szCs w:val="18"/>
        </w:rPr>
      </w:pPr>
      <w:r w:rsidDel="00000000" w:rsidR="00000000" w:rsidRPr="00000000">
        <w:rPr>
          <w:rtl w:val="0"/>
        </w:rPr>
      </w:r>
    </w:p>
    <w:p w:rsidR="00000000" w:rsidDel="00000000" w:rsidP="00000000" w:rsidRDefault="00000000" w:rsidRPr="00000000" w14:paraId="0000000F">
      <w:pPr>
        <w:shd w:fill="ffffff" w:val="clear"/>
        <w:spacing w:after="100" w:lineRule="auto"/>
        <w:jc w:val="both"/>
        <w:rPr>
          <w:sz w:val="18"/>
          <w:szCs w:val="18"/>
        </w:rPr>
      </w:pPr>
      <w:r w:rsidDel="00000000" w:rsidR="00000000" w:rsidRPr="00000000">
        <w:rPr>
          <w:rtl w:val="0"/>
        </w:rPr>
      </w:r>
    </w:p>
    <w:p w:rsidR="00000000" w:rsidDel="00000000" w:rsidP="00000000" w:rsidRDefault="00000000" w:rsidRPr="00000000" w14:paraId="00000010">
      <w:pPr>
        <w:shd w:fill="ffffff" w:val="clear"/>
        <w:spacing w:after="280" w:lineRule="auto"/>
        <w:jc w:val="both"/>
        <w:rPr>
          <w:sz w:val="18"/>
          <w:szCs w:val="18"/>
        </w:rPr>
      </w:pPr>
      <w:r w:rsidDel="00000000" w:rsidR="00000000" w:rsidRPr="00000000">
        <w:rPr>
          <w:rtl w:val="0"/>
        </w:rPr>
      </w:r>
    </w:p>
    <w:p w:rsidR="00000000" w:rsidDel="00000000" w:rsidP="00000000" w:rsidRDefault="00000000" w:rsidRPr="00000000" w14:paraId="00000011">
      <w:pPr>
        <w:spacing w:after="100" w:lineRule="auto"/>
        <w:jc w:val="both"/>
        <w:rPr>
          <w:b w:val="1"/>
          <w:sz w:val="18"/>
          <w:szCs w:val="18"/>
          <w:highlight w:val="white"/>
        </w:rPr>
      </w:pPr>
      <w:r w:rsidDel="00000000" w:rsidR="00000000" w:rsidRPr="00000000">
        <w:rPr>
          <w:b w:val="1"/>
          <w:sz w:val="18"/>
          <w:szCs w:val="18"/>
          <w:highlight w:val="white"/>
          <w:rtl w:val="0"/>
        </w:rPr>
        <w:t xml:space="preserve">Please answer the following questions about Barney and Fred’s potential claims:</w:t>
      </w:r>
    </w:p>
    <w:p w:rsidR="00000000" w:rsidDel="00000000" w:rsidP="00000000" w:rsidRDefault="00000000" w:rsidRPr="00000000" w14:paraId="00000012">
      <w:pPr>
        <w:numPr>
          <w:ilvl w:val="0"/>
          <w:numId w:val="1"/>
        </w:numPr>
        <w:spacing w:after="0" w:afterAutospacing="0" w:before="240" w:lineRule="auto"/>
        <w:ind w:left="720" w:hanging="360"/>
        <w:jc w:val="both"/>
      </w:pPr>
      <w:r w:rsidDel="00000000" w:rsidR="00000000" w:rsidRPr="00000000">
        <w:rPr>
          <w:sz w:val="18"/>
          <w:szCs w:val="18"/>
          <w:rtl w:val="0"/>
        </w:rPr>
        <w:t xml:space="preserve">Advise Barney of his prospects of proving that Kaboom Ltd breached the duty of care it owed him, as any employee, to protect his physical wellbeing.  </w:t>
      </w:r>
    </w:p>
    <w:p w:rsidR="00000000" w:rsidDel="00000000" w:rsidP="00000000" w:rsidRDefault="00000000" w:rsidRPr="00000000" w14:paraId="00000013">
      <w:pPr>
        <w:numPr>
          <w:ilvl w:val="0"/>
          <w:numId w:val="1"/>
        </w:numPr>
        <w:spacing w:after="300" w:before="0" w:beforeAutospacing="0" w:lineRule="auto"/>
        <w:ind w:left="720" w:hanging="360"/>
        <w:jc w:val="both"/>
      </w:pPr>
      <w:r w:rsidDel="00000000" w:rsidR="00000000" w:rsidRPr="00000000">
        <w:rPr>
          <w:sz w:val="18"/>
          <w:szCs w:val="18"/>
          <w:rtl w:val="0"/>
        </w:rPr>
        <w:t xml:space="preserve">Discuss whether Anyshire County Council owed Fred a duty of care under the provisions of the Occupiers’ Liability Act 1957.  Your answer </w:t>
      </w:r>
      <w:r w:rsidDel="00000000" w:rsidR="00000000" w:rsidRPr="00000000">
        <w:rPr>
          <w:b w:val="1"/>
          <w:sz w:val="18"/>
          <w:szCs w:val="18"/>
          <w:rtl w:val="0"/>
        </w:rPr>
        <w:t xml:space="preserve">must</w:t>
      </w:r>
      <w:r w:rsidDel="00000000" w:rsidR="00000000" w:rsidRPr="00000000">
        <w:rPr>
          <w:sz w:val="18"/>
          <w:szCs w:val="18"/>
          <w:rtl w:val="0"/>
        </w:rPr>
        <w:t xml:space="preserve"> refer to </w:t>
      </w:r>
      <w:r w:rsidDel="00000000" w:rsidR="00000000" w:rsidRPr="00000000">
        <w:rPr>
          <w:b w:val="1"/>
          <w:sz w:val="18"/>
          <w:szCs w:val="18"/>
          <w:rtl w:val="0"/>
        </w:rPr>
        <w:t xml:space="preserve">both</w:t>
      </w:r>
      <w:r w:rsidDel="00000000" w:rsidR="00000000" w:rsidRPr="00000000">
        <w:rPr>
          <w:sz w:val="18"/>
          <w:szCs w:val="18"/>
          <w:rtl w:val="0"/>
        </w:rPr>
        <w:t xml:space="preserve"> s.2(2) </w:t>
      </w:r>
      <w:r w:rsidDel="00000000" w:rsidR="00000000" w:rsidRPr="00000000">
        <w:rPr>
          <w:i w:val="1"/>
          <w:sz w:val="18"/>
          <w:szCs w:val="18"/>
          <w:rtl w:val="0"/>
        </w:rPr>
        <w:t xml:space="preserve">Occupiers’ Liability Act 1957</w:t>
      </w:r>
      <w:r w:rsidDel="00000000" w:rsidR="00000000" w:rsidRPr="00000000">
        <w:rPr>
          <w:sz w:val="18"/>
          <w:szCs w:val="18"/>
          <w:rtl w:val="0"/>
        </w:rPr>
        <w:t xml:space="preserve"> and s.2(4)(b) of the </w:t>
      </w:r>
      <w:r w:rsidDel="00000000" w:rsidR="00000000" w:rsidRPr="00000000">
        <w:rPr>
          <w:i w:val="1"/>
          <w:sz w:val="18"/>
          <w:szCs w:val="18"/>
          <w:rtl w:val="0"/>
        </w:rPr>
        <w:t xml:space="preserve">Occupiers’ Liability Act 1957</w:t>
      </w:r>
      <w:r w:rsidDel="00000000" w:rsidR="00000000" w:rsidRPr="00000000">
        <w:rPr>
          <w:sz w:val="18"/>
          <w:szCs w:val="18"/>
          <w:rtl w:val="0"/>
        </w:rPr>
        <w:t xml:space="preserve">. </w:t>
      </w:r>
    </w:p>
    <w:p w:rsidR="00000000" w:rsidDel="00000000" w:rsidP="00000000" w:rsidRDefault="00000000" w:rsidRPr="00000000" w14:paraId="00000014">
      <w:pPr>
        <w:shd w:fill="ffffff" w:val="clear"/>
        <w:spacing w:after="100" w:lineRule="auto"/>
        <w:rPr>
          <w:b w:val="1"/>
          <w:sz w:val="18"/>
          <w:szCs w:val="18"/>
        </w:rPr>
      </w:pPr>
      <w:r w:rsidDel="00000000" w:rsidR="00000000" w:rsidRPr="00000000">
        <w:rPr>
          <w:b w:val="1"/>
          <w:sz w:val="18"/>
          <w:szCs w:val="18"/>
          <w:rtl w:val="0"/>
        </w:rPr>
        <w:t xml:space="preserve">Important:</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sz w:val="18"/>
          <w:szCs w:val="18"/>
          <w:highlight w:val="white"/>
          <w:rtl w:val="0"/>
        </w:rPr>
        <w:t xml:space="preserve">The focus of these questions is very narrow; you will </w:t>
      </w:r>
      <w:r w:rsidDel="00000000" w:rsidR="00000000" w:rsidRPr="00000000">
        <w:rPr>
          <w:b w:val="1"/>
          <w:sz w:val="18"/>
          <w:szCs w:val="18"/>
          <w:highlight w:val="white"/>
          <w:rtl w:val="0"/>
        </w:rPr>
        <w:t xml:space="preserve">not</w:t>
      </w:r>
      <w:r w:rsidDel="00000000" w:rsidR="00000000" w:rsidRPr="00000000">
        <w:rPr>
          <w:sz w:val="18"/>
          <w:szCs w:val="18"/>
          <w:highlight w:val="white"/>
          <w:rtl w:val="0"/>
        </w:rPr>
        <w:t xml:space="preserve"> be awarded credit for discussing issues that fall outside of the scope of the specific questions you have been asked to answer.</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sz w:val="18"/>
          <w:szCs w:val="18"/>
          <w:highlight w:val="white"/>
          <w:rtl w:val="0"/>
        </w:rPr>
        <w:t xml:space="preserve">In relation to Q.1, you </w:t>
      </w:r>
      <w:r w:rsidDel="00000000" w:rsidR="00000000" w:rsidRPr="00000000">
        <w:rPr>
          <w:b w:val="1"/>
          <w:sz w:val="18"/>
          <w:szCs w:val="18"/>
          <w:highlight w:val="white"/>
          <w:rtl w:val="0"/>
        </w:rPr>
        <w:t xml:space="preserve">do not</w:t>
      </w:r>
      <w:r w:rsidDel="00000000" w:rsidR="00000000" w:rsidRPr="00000000">
        <w:rPr>
          <w:sz w:val="18"/>
          <w:szCs w:val="18"/>
          <w:highlight w:val="white"/>
          <w:rtl w:val="0"/>
        </w:rPr>
        <w:t xml:space="preserve"> need to discuss:</w:t>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Barney suffered actionable harm;</w:t>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Kaboom Ltd owed Barney a duty of care;</w:t>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Kaboom Ltd was the cause of any harm Barney suffered in the circumstances; or</w:t>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Kaboom Ltd has any defences he can rely on in the circumstances. </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sz w:val="18"/>
          <w:szCs w:val="18"/>
          <w:highlight w:val="white"/>
          <w:rtl w:val="0"/>
        </w:rPr>
        <w:t xml:space="preserve">In relation to Q.2, you </w:t>
      </w:r>
      <w:r w:rsidDel="00000000" w:rsidR="00000000" w:rsidRPr="00000000">
        <w:rPr>
          <w:b w:val="1"/>
          <w:sz w:val="18"/>
          <w:szCs w:val="18"/>
          <w:highlight w:val="white"/>
          <w:rtl w:val="0"/>
        </w:rPr>
        <w:t xml:space="preserve">do not</w:t>
      </w:r>
      <w:r w:rsidDel="00000000" w:rsidR="00000000" w:rsidRPr="00000000">
        <w:rPr>
          <w:sz w:val="18"/>
          <w:szCs w:val="18"/>
          <w:highlight w:val="white"/>
          <w:rtl w:val="0"/>
        </w:rPr>
        <w:t xml:space="preserve"> need to discuss:</w:t>
      </w:r>
    </w:p>
    <w:p w:rsidR="00000000" w:rsidDel="00000000" w:rsidP="00000000" w:rsidRDefault="00000000" w:rsidRPr="00000000" w14:paraId="0000001C">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Anyshire County Council were the occupiers of the Victorian Mill;</w:t>
      </w:r>
    </w:p>
    <w:p w:rsidR="00000000" w:rsidDel="00000000" w:rsidP="00000000" w:rsidRDefault="00000000" w:rsidRPr="00000000" w14:paraId="0000001D">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the Victorian Mill falls within the definition of a premises.</w:t>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Anyshire County Council breached any duty of care they might owed Fred; or</w:t>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sz w:val="18"/>
          <w:szCs w:val="18"/>
          <w:highlight w:val="white"/>
          <w:rtl w:val="0"/>
        </w:rPr>
        <w:t xml:space="preserve">Whether any breach of duty by Anyshire County Council caused the harm Fred suffered in the circumstances.</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sz w:val="18"/>
          <w:szCs w:val="18"/>
          <w:highlight w:val="white"/>
          <w:rtl w:val="0"/>
        </w:rPr>
        <w:t xml:space="preserve">Please ensure you </w:t>
      </w:r>
      <w:r w:rsidDel="00000000" w:rsidR="00000000" w:rsidRPr="00000000">
        <w:rPr>
          <w:b w:val="1"/>
          <w:sz w:val="18"/>
          <w:szCs w:val="18"/>
          <w:highlight w:val="white"/>
          <w:rtl w:val="0"/>
        </w:rPr>
        <w:t xml:space="preserve">support</w:t>
      </w:r>
      <w:r w:rsidDel="00000000" w:rsidR="00000000" w:rsidRPr="00000000">
        <w:rPr>
          <w:sz w:val="18"/>
          <w:szCs w:val="18"/>
          <w:highlight w:val="white"/>
          <w:rtl w:val="0"/>
        </w:rPr>
        <w:t xml:space="preserve"> your answers with relevant authority;</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sz w:val="18"/>
          <w:szCs w:val="18"/>
          <w:highlight w:val="white"/>
          <w:rtl w:val="0"/>
        </w:rPr>
        <w:t xml:space="preserve">Please put your answers to both questions in the </w:t>
      </w:r>
      <w:r w:rsidDel="00000000" w:rsidR="00000000" w:rsidRPr="00000000">
        <w:rPr>
          <w:b w:val="1"/>
          <w:sz w:val="18"/>
          <w:szCs w:val="18"/>
          <w:highlight w:val="white"/>
          <w:rtl w:val="0"/>
        </w:rPr>
        <w:t xml:space="preserve">same</w:t>
      </w:r>
      <w:r w:rsidDel="00000000" w:rsidR="00000000" w:rsidRPr="00000000">
        <w:rPr>
          <w:sz w:val="18"/>
          <w:szCs w:val="18"/>
          <w:highlight w:val="white"/>
          <w:rtl w:val="0"/>
        </w:rPr>
        <w:t xml:space="preserve"> document; and</w:t>
      </w:r>
    </w:p>
    <w:p w:rsidR="00000000" w:rsidDel="00000000" w:rsidP="00000000" w:rsidRDefault="00000000" w:rsidRPr="00000000" w14:paraId="00000022">
      <w:pPr>
        <w:numPr>
          <w:ilvl w:val="0"/>
          <w:numId w:val="3"/>
        </w:numPr>
        <w:spacing w:after="300" w:before="0" w:beforeAutospacing="0" w:lineRule="auto"/>
        <w:ind w:left="720" w:hanging="360"/>
      </w:pPr>
      <w:r w:rsidDel="00000000" w:rsidR="00000000" w:rsidRPr="00000000">
        <w:rPr>
          <w:sz w:val="18"/>
          <w:szCs w:val="18"/>
          <w:highlight w:val="white"/>
          <w:rtl w:val="0"/>
        </w:rPr>
        <w:t xml:space="preserve">Please treat each question as a distinct question; start your answer to each question on a </w:t>
      </w:r>
      <w:r w:rsidDel="00000000" w:rsidR="00000000" w:rsidRPr="00000000">
        <w:rPr>
          <w:b w:val="1"/>
          <w:sz w:val="18"/>
          <w:szCs w:val="18"/>
          <w:highlight w:val="white"/>
          <w:rtl w:val="0"/>
        </w:rPr>
        <w:t xml:space="preserve">new</w:t>
      </w:r>
      <w:r w:rsidDel="00000000" w:rsidR="00000000" w:rsidRPr="00000000">
        <w:rPr>
          <w:sz w:val="18"/>
          <w:szCs w:val="18"/>
          <w:highlight w:val="white"/>
          <w:rtl w:val="0"/>
        </w:rPr>
        <w:t xml:space="preserve"> page and provide a separate introduction and conclusion for each of them.</w:t>
      </w:r>
    </w:p>
    <w:p w:rsidR="00000000" w:rsidDel="00000000" w:rsidP="00000000" w:rsidRDefault="00000000" w:rsidRPr="00000000" w14:paraId="00000023">
      <w:pPr>
        <w:spacing w:after="60" w:lineRule="auto"/>
        <w:ind w:left="1080" w:hanging="540"/>
        <w:rPr>
          <w:b w:val="1"/>
          <w:sz w:val="18"/>
          <w:szCs w:val="18"/>
          <w:u w:val="single"/>
        </w:rPr>
      </w:pPr>
      <w:r w:rsidDel="00000000" w:rsidR="00000000" w:rsidRPr="00000000">
        <w:rPr>
          <w:b w:val="1"/>
          <w:sz w:val="18"/>
          <w:szCs w:val="18"/>
          <w:u w:val="single"/>
          <w:rtl w:val="0"/>
        </w:rPr>
        <w:t xml:space="preserve">General Requirements</w:t>
      </w:r>
    </w:p>
    <w:p w:rsidR="00000000" w:rsidDel="00000000" w:rsidP="00000000" w:rsidRDefault="00000000" w:rsidRPr="00000000" w14:paraId="00000024">
      <w:pPr>
        <w:spacing w:after="60" w:lineRule="auto"/>
        <w:rPr>
          <w:b w:val="1"/>
          <w:sz w:val="18"/>
          <w:szCs w:val="18"/>
        </w:rPr>
      </w:pPr>
      <w:r w:rsidDel="00000000" w:rsidR="00000000" w:rsidRPr="00000000">
        <w:rPr>
          <w:b w:val="1"/>
          <w:sz w:val="18"/>
          <w:szCs w:val="18"/>
          <w:rtl w:val="0"/>
        </w:rPr>
        <w:t xml:space="preserve">Your work must be word processed using Microsoft Word.  Once you have completed your work you should save it as either Microsoft Word document, or as in PDF format.  </w:t>
      </w:r>
    </w:p>
    <w:p w:rsidR="00000000" w:rsidDel="00000000" w:rsidP="00000000" w:rsidRDefault="00000000" w:rsidRPr="00000000" w14:paraId="00000025">
      <w:pPr>
        <w:spacing w:after="60" w:lineRule="auto"/>
        <w:rPr>
          <w:b w:val="1"/>
          <w:sz w:val="18"/>
          <w:szCs w:val="18"/>
        </w:rPr>
      </w:pPr>
      <w:r w:rsidDel="00000000" w:rsidR="00000000" w:rsidRPr="00000000">
        <w:rPr>
          <w:b w:val="1"/>
          <w:sz w:val="18"/>
          <w:szCs w:val="18"/>
          <w:rtl w:val="0"/>
        </w:rPr>
        <w:t xml:space="preserve">You should format your work in line with the following requirements: </w:t>
      </w:r>
    </w:p>
    <w:p w:rsidR="00000000" w:rsidDel="00000000" w:rsidP="00000000" w:rsidRDefault="00000000" w:rsidRPr="00000000" w14:paraId="00000026">
      <w:pPr>
        <w:numPr>
          <w:ilvl w:val="0"/>
          <w:numId w:val="2"/>
        </w:numPr>
        <w:spacing w:after="0" w:afterAutospacing="0" w:before="240" w:lineRule="auto"/>
        <w:ind w:left="720" w:hanging="360"/>
        <w:rPr>
          <w:b w:val="1"/>
          <w:sz w:val="18"/>
          <w:szCs w:val="18"/>
        </w:rPr>
      </w:pPr>
      <w:r w:rsidDel="00000000" w:rsidR="00000000" w:rsidRPr="00000000">
        <w:rPr>
          <w:b w:val="1"/>
          <w:sz w:val="18"/>
          <w:szCs w:val="18"/>
          <w:rtl w:val="0"/>
        </w:rPr>
        <w:t xml:space="preserve">Use a sans-serif font (e.g. Arial, Calibri, Tahoma or Verdana); </w:t>
      </w:r>
    </w:p>
    <w:p w:rsidR="00000000" w:rsidDel="00000000" w:rsidP="00000000" w:rsidRDefault="00000000" w:rsidRPr="00000000" w14:paraId="00000027">
      <w:pPr>
        <w:numPr>
          <w:ilvl w:val="0"/>
          <w:numId w:val="2"/>
        </w:numPr>
        <w:spacing w:after="0" w:afterAutospacing="0" w:before="0" w:beforeAutospacing="0" w:lineRule="auto"/>
        <w:ind w:left="720" w:hanging="360"/>
        <w:rPr>
          <w:b w:val="1"/>
          <w:sz w:val="18"/>
          <w:szCs w:val="18"/>
        </w:rPr>
      </w:pPr>
      <w:r w:rsidDel="00000000" w:rsidR="00000000" w:rsidRPr="00000000">
        <w:rPr>
          <w:b w:val="1"/>
          <w:sz w:val="18"/>
          <w:szCs w:val="18"/>
          <w:rtl w:val="0"/>
        </w:rPr>
        <w:t xml:space="preserve">Do not use a font size smaller than 12pt;  </w:t>
      </w:r>
    </w:p>
    <w:p w:rsidR="00000000" w:rsidDel="00000000" w:rsidP="00000000" w:rsidRDefault="00000000" w:rsidRPr="00000000" w14:paraId="00000028">
      <w:pPr>
        <w:numPr>
          <w:ilvl w:val="0"/>
          <w:numId w:val="2"/>
        </w:numPr>
        <w:spacing w:after="0" w:afterAutospacing="0" w:before="0" w:beforeAutospacing="0" w:lineRule="auto"/>
        <w:ind w:left="720" w:hanging="360"/>
        <w:rPr>
          <w:b w:val="1"/>
          <w:sz w:val="18"/>
          <w:szCs w:val="18"/>
        </w:rPr>
      </w:pPr>
      <w:r w:rsidDel="00000000" w:rsidR="00000000" w:rsidRPr="00000000">
        <w:rPr>
          <w:b w:val="1"/>
          <w:sz w:val="18"/>
          <w:szCs w:val="18"/>
          <w:rtl w:val="0"/>
        </w:rPr>
        <w:t xml:space="preserve">Set your page margins to ‘normal’;  </w:t>
      </w:r>
    </w:p>
    <w:p w:rsidR="00000000" w:rsidDel="00000000" w:rsidP="00000000" w:rsidRDefault="00000000" w:rsidRPr="00000000" w14:paraId="00000029">
      <w:pPr>
        <w:numPr>
          <w:ilvl w:val="0"/>
          <w:numId w:val="2"/>
        </w:numPr>
        <w:spacing w:after="0" w:afterAutospacing="0" w:before="0" w:beforeAutospacing="0" w:lineRule="auto"/>
        <w:ind w:left="720" w:hanging="360"/>
        <w:rPr>
          <w:b w:val="1"/>
          <w:sz w:val="18"/>
          <w:szCs w:val="18"/>
        </w:rPr>
      </w:pPr>
      <w:r w:rsidDel="00000000" w:rsidR="00000000" w:rsidRPr="00000000">
        <w:rPr>
          <w:b w:val="1"/>
          <w:sz w:val="18"/>
          <w:szCs w:val="18"/>
          <w:rtl w:val="0"/>
        </w:rPr>
        <w:t xml:space="preserve">Set your line spacing to ‘1.5 lines’; and</w:t>
      </w:r>
    </w:p>
    <w:p w:rsidR="00000000" w:rsidDel="00000000" w:rsidP="00000000" w:rsidRDefault="00000000" w:rsidRPr="00000000" w14:paraId="0000002A">
      <w:pPr>
        <w:numPr>
          <w:ilvl w:val="0"/>
          <w:numId w:val="2"/>
        </w:numPr>
        <w:spacing w:after="300" w:before="0" w:beforeAutospacing="0" w:lineRule="auto"/>
        <w:ind w:left="720" w:hanging="360"/>
        <w:rPr>
          <w:b w:val="1"/>
          <w:sz w:val="18"/>
          <w:szCs w:val="18"/>
        </w:rPr>
      </w:pPr>
      <w:r w:rsidDel="00000000" w:rsidR="00000000" w:rsidRPr="00000000">
        <w:rPr>
          <w:b w:val="1"/>
          <w:sz w:val="18"/>
          <w:szCs w:val="18"/>
          <w:rtl w:val="0"/>
        </w:rPr>
        <w:t xml:space="preserve">Include page numbers at the foot of your page.   </w:t>
      </w:r>
    </w:p>
    <w:p w:rsidR="00000000" w:rsidDel="00000000" w:rsidP="00000000" w:rsidRDefault="00000000" w:rsidRPr="00000000" w14:paraId="0000002B">
      <w:pPr>
        <w:spacing w:after="60" w:lineRule="auto"/>
        <w:rPr>
          <w:b w:val="1"/>
          <w:sz w:val="18"/>
          <w:szCs w:val="18"/>
        </w:rPr>
      </w:pPr>
      <w:r w:rsidDel="00000000" w:rsidR="00000000" w:rsidRPr="00000000">
        <w:rPr>
          <w:b w:val="1"/>
          <w:sz w:val="18"/>
          <w:szCs w:val="18"/>
          <w:rtl w:val="0"/>
        </w:rPr>
        <w:t xml:space="preserve">You may make use of headings/sub-headings within your work. </w:t>
      </w:r>
    </w:p>
    <w:p w:rsidR="00000000" w:rsidDel="00000000" w:rsidP="00000000" w:rsidRDefault="00000000" w:rsidRPr="00000000" w14:paraId="0000002C">
      <w:pPr>
        <w:spacing w:after="60" w:lineRule="auto"/>
        <w:rPr>
          <w:b w:val="1"/>
          <w:sz w:val="18"/>
          <w:szCs w:val="18"/>
        </w:rPr>
      </w:pPr>
      <w:r w:rsidDel="00000000" w:rsidR="00000000" w:rsidRPr="00000000">
        <w:rPr>
          <w:b w:val="1"/>
          <w:sz w:val="18"/>
          <w:szCs w:val="18"/>
          <w:rtl w:val="0"/>
        </w:rPr>
        <w:t xml:space="preserve">You must reference your work.  Your work must include a ‘List of Sources’ (including a Table of Legislation (if relevant), a Table of Cases (if relevant), and a Bibliography).  References must comply with the guidelines set out in the ‘Oxford University Standard for the Citation of Legal Authorities’ (4</w:t>
      </w:r>
      <w:r w:rsidDel="00000000" w:rsidR="00000000" w:rsidRPr="00000000">
        <w:rPr>
          <w:b w:val="1"/>
          <w:sz w:val="12"/>
          <w:szCs w:val="12"/>
          <w:vertAlign w:val="superscript"/>
          <w:rtl w:val="0"/>
        </w:rPr>
        <w:t xml:space="preserve">th</w:t>
      </w:r>
      <w:r w:rsidDel="00000000" w:rsidR="00000000" w:rsidRPr="00000000">
        <w:rPr>
          <w:b w:val="1"/>
          <w:sz w:val="18"/>
          <w:szCs w:val="18"/>
          <w:rtl w:val="0"/>
        </w:rPr>
        <w:t xml:space="preserve"> edition, 2012).  </w:t>
      </w:r>
    </w:p>
    <w:p w:rsidR="00000000" w:rsidDel="00000000" w:rsidP="00000000" w:rsidRDefault="00000000" w:rsidRPr="00000000" w14:paraId="0000002D">
      <w:pPr>
        <w:spacing w:after="60" w:lineRule="auto"/>
        <w:rPr>
          <w:b w:val="1"/>
          <w:sz w:val="18"/>
          <w:szCs w:val="18"/>
        </w:rPr>
      </w:pPr>
      <w:r w:rsidDel="00000000" w:rsidR="00000000" w:rsidRPr="00000000">
        <w:rPr>
          <w:b w:val="1"/>
          <w:sz w:val="18"/>
          <w:szCs w:val="18"/>
          <w:rtl w:val="0"/>
        </w:rPr>
        <w:t xml:space="preserve">An electronic copy of these guidelines can be accessed at:</w:t>
      </w:r>
      <w:hyperlink r:id="rId6">
        <w:r w:rsidDel="00000000" w:rsidR="00000000" w:rsidRPr="00000000">
          <w:rPr>
            <w:b w:val="1"/>
            <w:sz w:val="18"/>
            <w:szCs w:val="18"/>
            <w:rtl w:val="0"/>
          </w:rPr>
          <w:t xml:space="preserve"> </w:t>
        </w:r>
      </w:hyperlink>
      <w:hyperlink r:id="rId7">
        <w:r w:rsidDel="00000000" w:rsidR="00000000" w:rsidRPr="00000000">
          <w:rPr>
            <w:b w:val="1"/>
            <w:color w:val="0b4cb4"/>
            <w:sz w:val="18"/>
            <w:szCs w:val="18"/>
            <w:u w:val="single"/>
            <w:rtl w:val="0"/>
          </w:rPr>
          <w:t xml:space="preserve">https://www.law.ox.ac.uk/‌sites/files/oxlaw/oscola_4th_edn_hart_2012.pdf</w:t>
        </w:r>
      </w:hyperlink>
      <w:r w:rsidDel="00000000" w:rsidR="00000000" w:rsidRPr="00000000">
        <w:rPr>
          <w:b w:val="1"/>
          <w:color w:val="0b4cb4"/>
          <w:sz w:val="18"/>
          <w:szCs w:val="18"/>
          <w:u w:val="single"/>
          <w:rtl w:val="0"/>
        </w:rPr>
        <w:t xml:space="preserve"> </w:t>
      </w:r>
      <w:r w:rsidDel="00000000" w:rsidR="00000000" w:rsidRPr="00000000">
        <w:rPr>
          <w:b w:val="1"/>
          <w:sz w:val="18"/>
          <w:szCs w:val="18"/>
          <w:rtl w:val="0"/>
        </w:rPr>
        <w:t xml:space="preserve">     </w:t>
      </w:r>
    </w:p>
    <w:p w:rsidR="00000000" w:rsidDel="00000000" w:rsidP="00000000" w:rsidRDefault="00000000" w:rsidRPr="00000000" w14:paraId="0000002E">
      <w:pPr>
        <w:spacing w:after="60" w:lineRule="auto"/>
        <w:rPr>
          <w:b w:val="1"/>
          <w:sz w:val="18"/>
          <w:szCs w:val="18"/>
        </w:rPr>
      </w:pPr>
      <w:r w:rsidDel="00000000" w:rsidR="00000000" w:rsidRPr="00000000">
        <w:rPr>
          <w:b w:val="1"/>
          <w:sz w:val="18"/>
          <w:szCs w:val="18"/>
          <w:rtl w:val="0"/>
        </w:rPr>
        <w:t xml:space="preserve">Important: Whilst you cannot pass/fail this assessed task on the basis of your in text referencing/the references within your ‘List of Sources’ alone, it is clear from the University’s ‘Assessment Regulations for Undergraduate Programmes’ that referencing is a factor the marker must consider when deciding what grade to award you.  </w:t>
      </w:r>
    </w:p>
    <w:p w:rsidR="00000000" w:rsidDel="00000000" w:rsidP="00000000" w:rsidRDefault="00000000" w:rsidRPr="00000000" w14:paraId="0000002F">
      <w:pPr>
        <w:spacing w:after="60" w:lineRule="auto"/>
        <w:rPr>
          <w:b w:val="1"/>
          <w:sz w:val="18"/>
          <w:szCs w:val="18"/>
        </w:rPr>
      </w:pPr>
      <w:r w:rsidDel="00000000" w:rsidR="00000000" w:rsidRPr="00000000">
        <w:rPr>
          <w:b w:val="1"/>
          <w:sz w:val="18"/>
          <w:szCs w:val="18"/>
          <w:rtl w:val="0"/>
        </w:rPr>
        <w:t xml:space="preserve">Furthermore, Inadequate/inaccurate referencing of your work leaves you vulnerable to a finding that you have committed an academic offence.  Further information about academic offences can be found in the Programme Handbook.</w:t>
      </w:r>
    </w:p>
    <w:p w:rsidR="00000000" w:rsidDel="00000000" w:rsidP="00000000" w:rsidRDefault="00000000" w:rsidRPr="00000000" w14:paraId="00000030">
      <w:pPr>
        <w:spacing w:after="60" w:lineRule="auto"/>
        <w:rPr>
          <w:b w:val="1"/>
          <w:sz w:val="18"/>
          <w:szCs w:val="18"/>
          <w:u w:val="single"/>
        </w:rPr>
      </w:pPr>
      <w:r w:rsidDel="00000000" w:rsidR="00000000" w:rsidRPr="00000000">
        <w:rPr>
          <w:b w:val="1"/>
          <w:sz w:val="18"/>
          <w:szCs w:val="18"/>
          <w:u w:val="single"/>
          <w:rtl w:val="0"/>
        </w:rPr>
        <w:t xml:space="preserve">Word Limit</w:t>
      </w:r>
    </w:p>
    <w:p w:rsidR="00000000" w:rsidDel="00000000" w:rsidP="00000000" w:rsidRDefault="00000000" w:rsidRPr="00000000" w14:paraId="00000031">
      <w:pPr>
        <w:spacing w:after="60" w:lineRule="auto"/>
        <w:rPr>
          <w:b w:val="1"/>
          <w:sz w:val="18"/>
          <w:szCs w:val="18"/>
        </w:rPr>
      </w:pPr>
      <w:r w:rsidDel="00000000" w:rsidR="00000000" w:rsidRPr="00000000">
        <w:rPr>
          <w:b w:val="1"/>
          <w:sz w:val="18"/>
          <w:szCs w:val="18"/>
          <w:rtl w:val="0"/>
        </w:rPr>
        <w:t xml:space="preserve">The word limit for this assessed task is 3,000 words.</w:t>
      </w:r>
    </w:p>
    <w:p w:rsidR="00000000" w:rsidDel="00000000" w:rsidP="00000000" w:rsidRDefault="00000000" w:rsidRPr="00000000" w14:paraId="00000032">
      <w:pPr>
        <w:spacing w:after="60" w:lineRule="auto"/>
        <w:rPr>
          <w:b w:val="1"/>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ox.ac.uk/sites/files/oxlaw/oscola_4th_edn_hart_2012.pdf" TargetMode="External"/><Relationship Id="rId7" Type="http://schemas.openxmlformats.org/officeDocument/2006/relationships/hyperlink" Target="https://www.law.ox.ac.uk/sites/files/oxlaw/oscola_4th_edn_hart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