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8575BD"/>
    <w:p w:rsidR="00310217"/>
    <w:p w:rsidR="00310217"/>
    <w:p w:rsidR="00310217"/>
    <w:p w:rsidR="00310217" w:rsidP="00310217">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Virtual Child Pornography </w:t>
      </w:r>
    </w:p>
    <w:p w:rsidR="00310217" w:rsidP="00310217">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Name </w:t>
      </w:r>
    </w:p>
    <w:p w:rsidR="00310217" w:rsidP="00310217">
      <w:pPr>
        <w:spacing w:line="480" w:lineRule="auto"/>
        <w:jc w:val="center"/>
        <w:rPr>
          <w:rFonts w:asciiTheme="majorBidi" w:hAnsiTheme="majorBidi" w:cstheme="majorBidi"/>
          <w:sz w:val="24"/>
          <w:szCs w:val="24"/>
        </w:rPr>
      </w:pPr>
      <w:r>
        <w:rPr>
          <w:rFonts w:asciiTheme="majorBidi" w:hAnsiTheme="majorBidi" w:cstheme="majorBidi"/>
          <w:sz w:val="24"/>
          <w:szCs w:val="24"/>
        </w:rPr>
        <w:t>Institutional Affiliation</w:t>
      </w:r>
    </w:p>
    <w:p w:rsidR="00310217" w:rsidP="00310217">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310217">
      <w:pPr>
        <w:rPr>
          <w:rFonts w:asciiTheme="majorBidi" w:hAnsiTheme="majorBidi" w:cstheme="majorBidi"/>
          <w:sz w:val="24"/>
          <w:szCs w:val="24"/>
        </w:rPr>
      </w:pPr>
      <w:r>
        <w:rPr>
          <w:rFonts w:asciiTheme="majorBidi" w:hAnsiTheme="majorBidi" w:cstheme="majorBidi"/>
          <w:sz w:val="24"/>
          <w:szCs w:val="24"/>
        </w:rPr>
        <w:br w:type="page"/>
      </w:r>
    </w:p>
    <w:p w:rsidR="00310217" w:rsidP="00310217">
      <w:pPr>
        <w:spacing w:line="480" w:lineRule="auto"/>
        <w:jc w:val="center"/>
        <w:rPr>
          <w:rFonts w:asciiTheme="majorBidi" w:hAnsiTheme="majorBidi" w:cstheme="majorBidi"/>
          <w:sz w:val="24"/>
          <w:szCs w:val="24"/>
        </w:rPr>
      </w:pPr>
      <w:r>
        <w:rPr>
          <w:rFonts w:asciiTheme="majorBidi" w:hAnsiTheme="majorBidi" w:cstheme="majorBidi"/>
          <w:sz w:val="24"/>
          <w:szCs w:val="24"/>
        </w:rPr>
        <w:t>Virtual Child Pornography</w:t>
      </w:r>
    </w:p>
    <w:p w:rsidR="00310217" w:rsidP="0031021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Virtual child pornography </w:t>
      </w:r>
      <w:r w:rsidR="005E4D1E">
        <w:rPr>
          <w:rFonts w:asciiTheme="majorBidi" w:hAnsiTheme="majorBidi" w:cstheme="majorBidi"/>
          <w:sz w:val="24"/>
          <w:szCs w:val="24"/>
        </w:rPr>
        <w:t xml:space="preserve">is the use of videos to depict child to child or child to adult </w:t>
      </w:r>
      <w:r w:rsidR="00B43DD1">
        <w:rPr>
          <w:rFonts w:asciiTheme="majorBidi" w:hAnsiTheme="majorBidi" w:cstheme="majorBidi"/>
          <w:sz w:val="24"/>
          <w:szCs w:val="24"/>
        </w:rPr>
        <w:t xml:space="preserve">sexual activities. The videos do not use actual children but virtual images of the children. Human rights activists argue that these virtual depictions violate the First Amendment that decriminalizes the </w:t>
      </w:r>
      <w:r w:rsidR="00C157BD">
        <w:rPr>
          <w:rFonts w:asciiTheme="majorBidi" w:hAnsiTheme="majorBidi" w:cstheme="majorBidi"/>
          <w:sz w:val="24"/>
          <w:szCs w:val="24"/>
        </w:rPr>
        <w:t xml:space="preserve">use of children as sexual </w:t>
      </w:r>
      <w:r w:rsidR="00EE4D9F">
        <w:rPr>
          <w:rFonts w:asciiTheme="majorBidi" w:hAnsiTheme="majorBidi" w:cstheme="majorBidi"/>
          <w:sz w:val="24"/>
          <w:szCs w:val="24"/>
        </w:rPr>
        <w:t xml:space="preserve">objects. </w:t>
      </w:r>
      <w:r w:rsidR="00D1096E">
        <w:rPr>
          <w:rFonts w:asciiTheme="majorBidi" w:hAnsiTheme="majorBidi" w:cstheme="majorBidi"/>
          <w:sz w:val="24"/>
          <w:szCs w:val="24"/>
        </w:rPr>
        <w:t>The government has a responsibility to protect its vulnerable population like children from exploitation by opportunists and pedophiles. Video games have a</w:t>
      </w:r>
      <w:r w:rsidR="00EE4D9F">
        <w:rPr>
          <w:rFonts w:asciiTheme="majorBidi" w:hAnsiTheme="majorBidi" w:cstheme="majorBidi"/>
          <w:sz w:val="24"/>
          <w:szCs w:val="24"/>
        </w:rPr>
        <w:t xml:space="preserve"> significant influence on human behavior thus legalizing the videos </w:t>
      </w:r>
      <w:r w:rsidR="00D1096E">
        <w:rPr>
          <w:rFonts w:asciiTheme="majorBidi" w:hAnsiTheme="majorBidi" w:cstheme="majorBidi"/>
          <w:sz w:val="24"/>
          <w:szCs w:val="24"/>
        </w:rPr>
        <w:t xml:space="preserve">increases risks to the children. However, the United States’ Supreme Court made a ruling </w:t>
      </w:r>
      <w:r w:rsidR="00A32B38">
        <w:rPr>
          <w:rFonts w:asciiTheme="majorBidi" w:hAnsiTheme="majorBidi" w:cstheme="majorBidi"/>
          <w:sz w:val="24"/>
          <w:szCs w:val="24"/>
        </w:rPr>
        <w:t xml:space="preserve">in 2002 that lifted the ban on virtual child pornography </w:t>
      </w:r>
      <w:r w:rsidR="006D6D37">
        <w:rPr>
          <w:rFonts w:asciiTheme="majorBidi" w:hAnsiTheme="majorBidi" w:cstheme="majorBidi"/>
          <w:sz w:val="24"/>
          <w:szCs w:val="24"/>
        </w:rPr>
        <w:t xml:space="preserve">as contained in The Federal </w:t>
      </w:r>
      <w:r w:rsidRPr="00767083" w:rsidR="00767083">
        <w:rPr>
          <w:rFonts w:asciiTheme="majorBidi" w:hAnsiTheme="majorBidi" w:cstheme="majorBidi"/>
          <w:sz w:val="24"/>
          <w:szCs w:val="24"/>
        </w:rPr>
        <w:t>Child Pornography Prevention Act</w:t>
      </w:r>
      <w:sdt>
        <w:sdtPr>
          <w:rPr>
            <w:rFonts w:asciiTheme="majorBidi" w:hAnsiTheme="majorBidi" w:cstheme="majorBidi"/>
            <w:sz w:val="24"/>
            <w:szCs w:val="24"/>
          </w:rPr>
          <w:id w:val="-799298682"/>
          <w:citation/>
        </w:sdtPr>
        <w:sdtContent>
          <w:r w:rsidR="00905721">
            <w:rPr>
              <w:rFonts w:asciiTheme="majorBidi" w:hAnsiTheme="majorBidi" w:cstheme="majorBidi"/>
              <w:sz w:val="24"/>
              <w:szCs w:val="24"/>
            </w:rPr>
            <w:fldChar w:fldCharType="begin"/>
          </w:r>
          <w:r w:rsidR="00905721">
            <w:rPr>
              <w:rFonts w:asciiTheme="majorBidi" w:hAnsiTheme="majorBidi" w:cstheme="majorBidi"/>
              <w:sz w:val="24"/>
              <w:szCs w:val="24"/>
            </w:rPr>
            <w:instrText xml:space="preserve"> CITATION Akd16 \l 1033 </w:instrText>
          </w:r>
          <w:r w:rsidR="00905721">
            <w:rPr>
              <w:rFonts w:asciiTheme="majorBidi" w:hAnsiTheme="majorBidi" w:cstheme="majorBidi"/>
              <w:sz w:val="24"/>
              <w:szCs w:val="24"/>
            </w:rPr>
            <w:fldChar w:fldCharType="separate"/>
          </w:r>
          <w:r w:rsidR="00905721">
            <w:rPr>
              <w:rFonts w:asciiTheme="majorBidi" w:hAnsiTheme="majorBidi" w:cstheme="majorBidi"/>
              <w:noProof/>
              <w:sz w:val="24"/>
              <w:szCs w:val="24"/>
            </w:rPr>
            <w:t xml:space="preserve"> </w:t>
          </w:r>
          <w:r w:rsidRPr="00905721" w:rsidR="00905721">
            <w:rPr>
              <w:rFonts w:asciiTheme="majorBidi" w:hAnsiTheme="majorBidi" w:cstheme="majorBidi"/>
              <w:noProof/>
              <w:sz w:val="24"/>
              <w:szCs w:val="24"/>
            </w:rPr>
            <w:t>(Yaman, 2016)</w:t>
          </w:r>
          <w:r w:rsidR="00905721">
            <w:rPr>
              <w:rFonts w:asciiTheme="majorBidi" w:hAnsiTheme="majorBidi" w:cstheme="majorBidi"/>
              <w:sz w:val="24"/>
              <w:szCs w:val="24"/>
            </w:rPr>
            <w:fldChar w:fldCharType="end"/>
          </w:r>
        </w:sdtContent>
      </w:sdt>
      <w:r w:rsidR="00767083">
        <w:rPr>
          <w:rFonts w:asciiTheme="majorBidi" w:hAnsiTheme="majorBidi" w:cstheme="majorBidi"/>
          <w:sz w:val="24"/>
          <w:szCs w:val="24"/>
        </w:rPr>
        <w:t xml:space="preserve">. The ruling, however, raises more moral issues than legal ones concerning the adults’ responsibility in protecting children. </w:t>
      </w:r>
    </w:p>
    <w:p w:rsidR="00767083" w:rsidP="0031021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primary role of any government is to protect the interest of its population, especially the vulnerable groups. It achieves this responsibility to formulating and implementing favorable policies and laws. Children are one of the vulnerable groups since they are defenseless in the face of a threat. Subsequently, adults should create a safe environment for them at all times. </w:t>
      </w:r>
      <w:r w:rsidR="00A60ADD">
        <w:rPr>
          <w:rFonts w:asciiTheme="majorBidi" w:hAnsiTheme="majorBidi" w:cstheme="majorBidi"/>
          <w:sz w:val="24"/>
          <w:szCs w:val="24"/>
        </w:rPr>
        <w:t xml:space="preserve">The utilitarianism theory of ethics argues that we must always </w:t>
      </w:r>
      <w:r w:rsidR="001C5A6E">
        <w:rPr>
          <w:rFonts w:asciiTheme="majorBidi" w:hAnsiTheme="majorBidi" w:cstheme="majorBidi"/>
          <w:sz w:val="24"/>
          <w:szCs w:val="24"/>
        </w:rPr>
        <w:t>act in a way that promotes the happiness and well-being of the majority of the population</w:t>
      </w:r>
      <w:sdt>
        <w:sdtPr>
          <w:rPr>
            <w:rFonts w:asciiTheme="majorBidi" w:hAnsiTheme="majorBidi" w:cstheme="majorBidi"/>
            <w:sz w:val="24"/>
            <w:szCs w:val="24"/>
          </w:rPr>
          <w:id w:val="391785807"/>
          <w:citation/>
        </w:sdtPr>
        <w:sdtContent>
          <w:r w:rsidR="009C6B53">
            <w:rPr>
              <w:rFonts w:asciiTheme="majorBidi" w:hAnsiTheme="majorBidi" w:cstheme="majorBidi"/>
              <w:sz w:val="24"/>
              <w:szCs w:val="24"/>
            </w:rPr>
            <w:fldChar w:fldCharType="begin"/>
          </w:r>
          <w:r w:rsidR="009C6B53">
            <w:rPr>
              <w:rFonts w:asciiTheme="majorBidi" w:hAnsiTheme="majorBidi" w:cstheme="majorBidi"/>
              <w:sz w:val="24"/>
              <w:szCs w:val="24"/>
            </w:rPr>
            <w:instrText xml:space="preserve"> CITATION Bar151 \l 1033 </w:instrText>
          </w:r>
          <w:r w:rsidR="009C6B53">
            <w:rPr>
              <w:rFonts w:asciiTheme="majorBidi" w:hAnsiTheme="majorBidi" w:cstheme="majorBidi"/>
              <w:sz w:val="24"/>
              <w:szCs w:val="24"/>
            </w:rPr>
            <w:fldChar w:fldCharType="separate"/>
          </w:r>
          <w:r w:rsidR="009C6B53">
            <w:rPr>
              <w:rFonts w:asciiTheme="majorBidi" w:hAnsiTheme="majorBidi" w:cstheme="majorBidi"/>
              <w:noProof/>
              <w:sz w:val="24"/>
              <w:szCs w:val="24"/>
            </w:rPr>
            <w:t xml:space="preserve"> </w:t>
          </w:r>
          <w:r w:rsidRPr="009C6B53" w:rsidR="009C6B53">
            <w:rPr>
              <w:rFonts w:asciiTheme="majorBidi" w:hAnsiTheme="majorBidi" w:cstheme="majorBidi"/>
              <w:noProof/>
              <w:sz w:val="24"/>
              <w:szCs w:val="24"/>
            </w:rPr>
            <w:t>(Robin, 2015)</w:t>
          </w:r>
          <w:r w:rsidR="009C6B53">
            <w:rPr>
              <w:rFonts w:asciiTheme="majorBidi" w:hAnsiTheme="majorBidi" w:cstheme="majorBidi"/>
              <w:sz w:val="24"/>
              <w:szCs w:val="24"/>
            </w:rPr>
            <w:fldChar w:fldCharType="end"/>
          </w:r>
        </w:sdtContent>
      </w:sdt>
      <w:r w:rsidR="001C5A6E">
        <w:rPr>
          <w:rFonts w:asciiTheme="majorBidi" w:hAnsiTheme="majorBidi" w:cstheme="majorBidi"/>
          <w:sz w:val="24"/>
          <w:szCs w:val="24"/>
        </w:rPr>
        <w:t xml:space="preserve">. The idea of utility in ethics appreciates that it is almost impossible to achieve happiness in everybody simultaneously through a given action. Utilitarianism theorist emphasizes the concept of utility which refers to the </w:t>
      </w:r>
      <w:r w:rsidR="00AD0605">
        <w:rPr>
          <w:rFonts w:asciiTheme="majorBidi" w:hAnsiTheme="majorBidi" w:cstheme="majorBidi"/>
          <w:sz w:val="24"/>
          <w:szCs w:val="24"/>
        </w:rPr>
        <w:t>concepts relate to the well-being of the population. 
</w:t>
      </w:r>
    </w:p>
    <w:p w:rsidR="00AD0605" w:rsidP="00905721">
      <w:pPr>
        <w:spacing w:line="480" w:lineRule="auto"/>
        <w:ind w:firstLine="720"/>
        <w:rPr>
          <w:rFonts w:asciiTheme="majorBidi" w:hAnsiTheme="majorBidi" w:cstheme="majorBidi"/>
          <w:sz w:val="24"/>
          <w:szCs w:val="24"/>
        </w:rPr>
      </w:pPr>
      <w:r>
        <w:rPr>
          <w:rFonts w:asciiTheme="majorBidi" w:hAnsiTheme="majorBidi" w:cstheme="majorBidi"/>
          <w:sz w:val="24"/>
          <w:szCs w:val="24"/>
        </w:rPr>
        <w:t>The Supreme Court's ruling that lifted the ban on virtual child pornography needs a revision as it goes against the interest of the vulnerable community. Currently, existing studies show a strong link between human behavior and video games or films</w:t>
      </w:r>
      <w:sdt>
        <w:sdtPr>
          <w:rPr>
            <w:rFonts w:asciiTheme="majorBidi" w:hAnsiTheme="majorBidi" w:cstheme="majorBidi"/>
            <w:sz w:val="24"/>
            <w:szCs w:val="24"/>
          </w:rPr>
          <w:id w:val="-1508982787"/>
          <w:citation/>
        </w:sdtPr>
        <w:sdtContent>
          <w:r w:rsidR="00D755DF">
            <w:rPr>
              <w:rFonts w:asciiTheme="majorBidi" w:hAnsiTheme="majorBidi" w:cstheme="majorBidi"/>
              <w:sz w:val="24"/>
              <w:szCs w:val="24"/>
            </w:rPr>
            <w:fldChar w:fldCharType="begin"/>
          </w:r>
          <w:r w:rsidR="00D755DF">
            <w:rPr>
              <w:rFonts w:asciiTheme="majorBidi" w:hAnsiTheme="majorBidi" w:cstheme="majorBidi"/>
              <w:sz w:val="24"/>
              <w:szCs w:val="24"/>
            </w:rPr>
            <w:instrText xml:space="preserve"> CITATION Tay17 \l 1033 </w:instrText>
          </w:r>
          <w:r w:rsidR="00D755DF">
            <w:rPr>
              <w:rFonts w:asciiTheme="majorBidi" w:hAnsiTheme="majorBidi" w:cstheme="majorBidi"/>
              <w:sz w:val="24"/>
              <w:szCs w:val="24"/>
            </w:rPr>
            <w:fldChar w:fldCharType="separate"/>
          </w:r>
          <w:r w:rsidR="00D755DF">
            <w:rPr>
              <w:rFonts w:asciiTheme="majorBidi" w:hAnsiTheme="majorBidi" w:cstheme="majorBidi"/>
              <w:noProof/>
              <w:sz w:val="24"/>
              <w:szCs w:val="24"/>
            </w:rPr>
            <w:t xml:space="preserve"> </w:t>
          </w:r>
          <w:r w:rsidRPr="00D755DF" w:rsidR="00D755DF">
            <w:rPr>
              <w:rFonts w:asciiTheme="majorBidi" w:hAnsiTheme="majorBidi" w:cstheme="majorBidi"/>
              <w:noProof/>
              <w:sz w:val="24"/>
              <w:szCs w:val="24"/>
            </w:rPr>
            <w:t xml:space="preserve">(Louis, Jebb, </w:t>
          </w:r>
          <w:r w:rsidRPr="00D755DF" w:rsidR="00D755DF">
            <w:rPr>
              <w:rFonts w:asciiTheme="majorBidi" w:hAnsiTheme="majorBidi" w:cstheme="majorBidi"/>
              <w:noProof/>
              <w:sz w:val="24"/>
              <w:szCs w:val="24"/>
            </w:rPr>
            <w:t>&amp; Woo, 2017)</w:t>
          </w:r>
          <w:r w:rsidR="00D755DF">
            <w:rPr>
              <w:rFonts w:asciiTheme="majorBidi" w:hAnsiTheme="majorBidi" w:cstheme="majorBidi"/>
              <w:sz w:val="24"/>
              <w:szCs w:val="24"/>
            </w:rPr>
            <w:fldChar w:fldCharType="end"/>
          </w:r>
        </w:sdtContent>
      </w:sdt>
      <w:r>
        <w:rPr>
          <w:rFonts w:asciiTheme="majorBidi" w:hAnsiTheme="majorBidi" w:cstheme="majorBidi"/>
          <w:sz w:val="24"/>
          <w:szCs w:val="24"/>
        </w:rPr>
        <w:t>. Governments and businesses have used films to persuade the public to adopt a given idea. Simila</w:t>
      </w:r>
      <w:r w:rsidR="00457CD0">
        <w:rPr>
          <w:rFonts w:asciiTheme="majorBidi" w:hAnsiTheme="majorBidi" w:cstheme="majorBidi"/>
          <w:sz w:val="24"/>
          <w:szCs w:val="24"/>
        </w:rPr>
        <w:t>rly, some studies have linked video games and films to violent human behavior</w:t>
      </w:r>
      <w:sdt>
        <w:sdtPr>
          <w:rPr>
            <w:rFonts w:asciiTheme="majorBidi" w:hAnsiTheme="majorBidi" w:cstheme="majorBidi"/>
            <w:sz w:val="24"/>
            <w:szCs w:val="24"/>
          </w:rPr>
          <w:id w:val="1049651787"/>
          <w:citation/>
        </w:sdtPr>
        <w:sdtContent>
          <w:r w:rsidR="00D755DF">
            <w:rPr>
              <w:rFonts w:asciiTheme="majorBidi" w:hAnsiTheme="majorBidi" w:cstheme="majorBidi"/>
              <w:sz w:val="24"/>
              <w:szCs w:val="24"/>
            </w:rPr>
            <w:fldChar w:fldCharType="begin"/>
          </w:r>
          <w:r w:rsidR="00D755DF">
            <w:rPr>
              <w:rFonts w:asciiTheme="majorBidi" w:hAnsiTheme="majorBidi" w:cstheme="majorBidi"/>
              <w:sz w:val="24"/>
              <w:szCs w:val="24"/>
            </w:rPr>
            <w:instrText xml:space="preserve"> CITATION Tay17 \l 1033 </w:instrText>
          </w:r>
          <w:r w:rsidR="00D755DF">
            <w:rPr>
              <w:rFonts w:asciiTheme="majorBidi" w:hAnsiTheme="majorBidi" w:cstheme="majorBidi"/>
              <w:sz w:val="24"/>
              <w:szCs w:val="24"/>
            </w:rPr>
            <w:fldChar w:fldCharType="separate"/>
          </w:r>
          <w:r w:rsidR="00D755DF">
            <w:rPr>
              <w:rFonts w:asciiTheme="majorBidi" w:hAnsiTheme="majorBidi" w:cstheme="majorBidi"/>
              <w:noProof/>
              <w:sz w:val="24"/>
              <w:szCs w:val="24"/>
            </w:rPr>
            <w:t xml:space="preserve"> </w:t>
          </w:r>
          <w:r w:rsidRPr="00D755DF" w:rsidR="00D755DF">
            <w:rPr>
              <w:rFonts w:asciiTheme="majorBidi" w:hAnsiTheme="majorBidi" w:cstheme="majorBidi"/>
              <w:noProof/>
              <w:sz w:val="24"/>
              <w:szCs w:val="24"/>
            </w:rPr>
            <w:t>(Louis, Jebb, &amp; Woo, 2017)</w:t>
          </w:r>
          <w:r w:rsidR="00D755DF">
            <w:rPr>
              <w:rFonts w:asciiTheme="majorBidi" w:hAnsiTheme="majorBidi" w:cstheme="majorBidi"/>
              <w:sz w:val="24"/>
              <w:szCs w:val="24"/>
            </w:rPr>
            <w:fldChar w:fldCharType="end"/>
          </w:r>
        </w:sdtContent>
      </w:sdt>
      <w:r w:rsidR="00457CD0">
        <w:rPr>
          <w:rFonts w:asciiTheme="majorBidi" w:hAnsiTheme="majorBidi" w:cstheme="majorBidi"/>
          <w:sz w:val="24"/>
          <w:szCs w:val="24"/>
        </w:rPr>
        <w:t>. The legalization of virtual child pornography thus increases the risks of children engaging in sexual activities with children. Globally, there is an increase of pedophiles and legalizing the videos only aggravate the situation. 
</w:t>
      </w:r>
    </w:p>
    <w:p w:rsidR="00457CD0" w:rsidP="00E1499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In 2017, the children below eighteen years stood at 73.7 million </w:t>
      </w:r>
      <w:r w:rsidR="003E1031">
        <w:rPr>
          <w:rFonts w:asciiTheme="majorBidi" w:hAnsiTheme="majorBidi" w:cstheme="majorBidi"/>
          <w:sz w:val="24"/>
          <w:szCs w:val="24"/>
        </w:rPr>
        <w:t>representing 22.3 percent of the entire population</w:t>
      </w:r>
      <w:sdt>
        <w:sdtPr>
          <w:rPr>
            <w:rFonts w:asciiTheme="majorBidi" w:hAnsiTheme="majorBidi" w:cstheme="majorBidi"/>
            <w:sz w:val="24"/>
            <w:szCs w:val="24"/>
          </w:rPr>
          <w:id w:val="-1606421772"/>
          <w:citation/>
        </w:sdtPr>
        <w:sdtContent>
          <w:r w:rsidR="00FF778C">
            <w:rPr>
              <w:rFonts w:asciiTheme="majorBidi" w:hAnsiTheme="majorBidi" w:cstheme="majorBidi"/>
              <w:sz w:val="24"/>
              <w:szCs w:val="24"/>
            </w:rPr>
            <w:fldChar w:fldCharType="begin"/>
          </w:r>
          <w:r w:rsidR="00FF778C">
            <w:rPr>
              <w:rFonts w:asciiTheme="majorBidi" w:hAnsiTheme="majorBidi" w:cstheme="majorBidi"/>
              <w:sz w:val="24"/>
              <w:szCs w:val="24"/>
            </w:rPr>
            <w:instrText xml:space="preserve"> CITATION Chi19 \l 1033 </w:instrText>
          </w:r>
          <w:r w:rsidR="00FF778C">
            <w:rPr>
              <w:rFonts w:asciiTheme="majorBidi" w:hAnsiTheme="majorBidi" w:cstheme="majorBidi"/>
              <w:sz w:val="24"/>
              <w:szCs w:val="24"/>
            </w:rPr>
            <w:fldChar w:fldCharType="separate"/>
          </w:r>
          <w:r w:rsidR="00FF778C">
            <w:rPr>
              <w:rFonts w:asciiTheme="majorBidi" w:hAnsiTheme="majorBidi" w:cstheme="majorBidi"/>
              <w:noProof/>
              <w:sz w:val="24"/>
              <w:szCs w:val="24"/>
            </w:rPr>
            <w:t xml:space="preserve"> </w:t>
          </w:r>
          <w:r w:rsidRPr="00FF778C" w:rsidR="00FF778C">
            <w:rPr>
              <w:rFonts w:asciiTheme="majorBidi" w:hAnsiTheme="majorBidi" w:cstheme="majorBidi"/>
              <w:noProof/>
              <w:sz w:val="24"/>
              <w:szCs w:val="24"/>
            </w:rPr>
            <w:t>(Child Trends, 2019)</w:t>
          </w:r>
          <w:r w:rsidR="00FF778C">
            <w:rPr>
              <w:rFonts w:asciiTheme="majorBidi" w:hAnsiTheme="majorBidi" w:cstheme="majorBidi"/>
              <w:sz w:val="24"/>
              <w:szCs w:val="24"/>
            </w:rPr>
            <w:fldChar w:fldCharType="end"/>
          </w:r>
        </w:sdtContent>
      </w:sdt>
      <w:r w:rsidR="003E1031">
        <w:rPr>
          <w:rFonts w:asciiTheme="majorBidi" w:hAnsiTheme="majorBidi" w:cstheme="majorBidi"/>
          <w:sz w:val="24"/>
          <w:szCs w:val="24"/>
        </w:rPr>
        <w:t>.</w:t>
      </w:r>
      <w:r w:rsidR="00FF778C">
        <w:rPr>
          <w:rFonts w:asciiTheme="majorBidi" w:hAnsiTheme="majorBidi" w:cstheme="majorBidi"/>
          <w:sz w:val="24"/>
          <w:szCs w:val="24"/>
        </w:rPr>
        <w:t xml:space="preserve"> According to Child Trends (2019), the figure is projected to hit </w:t>
      </w:r>
      <w:r w:rsidR="00E14997">
        <w:rPr>
          <w:rFonts w:asciiTheme="majorBidi" w:hAnsiTheme="majorBidi" w:cstheme="majorBidi"/>
          <w:sz w:val="24"/>
          <w:szCs w:val="24"/>
        </w:rPr>
        <w:t xml:space="preserve">79.9 million by 2050. </w:t>
      </w:r>
      <w:r w:rsidR="003E1031">
        <w:rPr>
          <w:rFonts w:asciiTheme="majorBidi" w:hAnsiTheme="majorBidi" w:cstheme="majorBidi"/>
          <w:sz w:val="24"/>
          <w:szCs w:val="24"/>
        </w:rPr>
        <w:t>The 2002 ruling exposes nearly a quarter of the entire population to preventable risks like defilement and rape. On the other hand, there is no exact data on the number of adults watching the videos. In the ruling, the S</w:t>
      </w:r>
      <w:r w:rsidR="0074007A">
        <w:rPr>
          <w:rFonts w:asciiTheme="majorBidi" w:hAnsiTheme="majorBidi" w:cstheme="majorBidi"/>
          <w:sz w:val="24"/>
          <w:szCs w:val="24"/>
        </w:rPr>
        <w:t xml:space="preserve">upreme Court argued that the consumers of these contents had the right to do so since it did not involve actual children. </w:t>
      </w:r>
      <w:r w:rsidR="008E7DBD">
        <w:rPr>
          <w:rFonts w:asciiTheme="majorBidi" w:hAnsiTheme="majorBidi" w:cstheme="majorBidi"/>
          <w:sz w:val="24"/>
          <w:szCs w:val="24"/>
        </w:rPr>
        <w:t xml:space="preserve">However, subsequent studies indicate that the videos are likely to adversely contribute to the violation of children's rights as outlined in the First Amendment. </w:t>
      </w:r>
      <w:r w:rsidR="005A2C1D">
        <w:rPr>
          <w:rFonts w:asciiTheme="majorBidi" w:hAnsiTheme="majorBidi" w:cstheme="majorBidi"/>
          <w:sz w:val="24"/>
          <w:szCs w:val="24"/>
        </w:rPr>
        <w:t>The current legislative framework permitting virtual child pornography is unethical as it promotes acts that violate vulnerable groups in the community to satisfy the interest of a few individuals.
</w:t>
      </w:r>
    </w:p>
    <w:p w:rsidR="005A2C1D" w:rsidP="00E1499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Additionally, </w:t>
      </w:r>
      <w:r w:rsidR="00D20173">
        <w:rPr>
          <w:rFonts w:asciiTheme="majorBidi" w:hAnsiTheme="majorBidi" w:cstheme="majorBidi"/>
          <w:sz w:val="24"/>
          <w:szCs w:val="24"/>
        </w:rPr>
        <w:t xml:space="preserve">adults should care for the children until they become sell reliant. </w:t>
      </w:r>
      <w:r w:rsidR="00BC4F29">
        <w:rPr>
          <w:rFonts w:asciiTheme="majorBidi" w:hAnsiTheme="majorBidi" w:cstheme="majorBidi"/>
          <w:sz w:val="24"/>
          <w:szCs w:val="24"/>
        </w:rPr>
        <w:t xml:space="preserve">Childcare covers all aspects of the kids' lives and not limited to providing basic needs and education. For example, all adults have a responsibility to create a safe environment for the young ones to achieve their dreams. The legalization of virtual child pornography contradicts this obligation by </w:t>
      </w:r>
      <w:r w:rsidR="001E4723">
        <w:rPr>
          <w:rFonts w:asciiTheme="majorBidi" w:hAnsiTheme="majorBidi" w:cstheme="majorBidi"/>
          <w:sz w:val="24"/>
          <w:szCs w:val="24"/>
        </w:rPr>
        <w:t xml:space="preserve">exposing the children physically, and emotional abuse. For example, when the children watch the videos they are likely to get the desire to explore what they watch in real life. Children are naturally adventurous </w:t>
      </w:r>
      <w:r w:rsidR="00D878D6">
        <w:rPr>
          <w:rFonts w:asciiTheme="majorBidi" w:hAnsiTheme="majorBidi" w:cstheme="majorBidi"/>
          <w:sz w:val="24"/>
          <w:szCs w:val="24"/>
        </w:rPr>
        <w:t>and likely to practices what they watch, considering it involves children their age. Sex experience in early stages in human life has several adverse effects. For instance,</w:t>
      </w:r>
      <w:r w:rsidR="00BA5D2D">
        <w:rPr>
          <w:rFonts w:asciiTheme="majorBidi" w:hAnsiTheme="majorBidi" w:cstheme="majorBidi"/>
          <w:sz w:val="24"/>
          <w:szCs w:val="24"/>
        </w:rPr>
        <w:t xml:space="preserve"> early pregnancy </w:t>
      </w:r>
      <w:r w:rsidR="006F5F49">
        <w:rPr>
          <w:rFonts w:asciiTheme="majorBidi" w:hAnsiTheme="majorBidi" w:cstheme="majorBidi"/>
          <w:sz w:val="24"/>
          <w:szCs w:val="24"/>
        </w:rPr>
        <w:t xml:space="preserve">is one of the common impacts of sexual activities among children. </w:t>
      </w:r>
      <w:r w:rsidR="00F85559">
        <w:rPr>
          <w:rFonts w:asciiTheme="majorBidi" w:hAnsiTheme="majorBidi" w:cstheme="majorBidi"/>
          <w:sz w:val="24"/>
          <w:szCs w:val="24"/>
        </w:rPr>
        <w:t xml:space="preserve">Early pregnancy robs a child her </w:t>
      </w:r>
      <w:r w:rsidR="00F85559">
        <w:rPr>
          <w:rFonts w:asciiTheme="majorBidi" w:hAnsiTheme="majorBidi" w:cstheme="majorBidi"/>
          <w:sz w:val="24"/>
          <w:szCs w:val="24"/>
        </w:rPr>
        <w:t xml:space="preserve">childhood and increases her chances of sliding into poverty. </w:t>
      </w:r>
      <w:r w:rsidR="00543E2B">
        <w:rPr>
          <w:rFonts w:asciiTheme="majorBidi" w:hAnsiTheme="majorBidi" w:cstheme="majorBidi"/>
          <w:sz w:val="24"/>
          <w:szCs w:val="24"/>
        </w:rPr>
        <w:t>Essentially, legalizing virtual child pornography is a manifestation of adults’ inability to care for the children.</w:t>
      </w:r>
    </w:p>
    <w:p w:rsidR="00543E2B" w:rsidP="00E14997">
      <w:pPr>
        <w:spacing w:line="480" w:lineRule="auto"/>
        <w:ind w:firstLine="720"/>
        <w:rPr>
          <w:rFonts w:asciiTheme="majorBidi" w:hAnsiTheme="majorBidi" w:cstheme="majorBidi"/>
          <w:sz w:val="24"/>
          <w:szCs w:val="24"/>
        </w:rPr>
      </w:pPr>
      <w:r>
        <w:rPr>
          <w:rFonts w:asciiTheme="majorBidi" w:hAnsiTheme="majorBidi" w:cstheme="majorBidi"/>
          <w:sz w:val="24"/>
          <w:szCs w:val="24"/>
        </w:rPr>
        <w:t>Further, the ruling by the Supreme Court con</w:t>
      </w:r>
      <w:r w:rsidR="003A21C5">
        <w:rPr>
          <w:rFonts w:asciiTheme="majorBidi" w:hAnsiTheme="majorBidi" w:cstheme="majorBidi"/>
          <w:sz w:val="24"/>
          <w:szCs w:val="24"/>
        </w:rPr>
        <w:t xml:space="preserve">tradicts the social virtues. Virtue ethics </w:t>
      </w:r>
      <w:r w:rsidR="00FC19D1">
        <w:rPr>
          <w:rFonts w:asciiTheme="majorBidi" w:hAnsiTheme="majorBidi" w:cstheme="majorBidi"/>
          <w:sz w:val="24"/>
          <w:szCs w:val="24"/>
        </w:rPr>
        <w:t>“</w:t>
      </w:r>
      <w:r w:rsidR="003A21C5">
        <w:rPr>
          <w:rFonts w:asciiTheme="majorBidi" w:hAnsiTheme="majorBidi" w:cstheme="majorBidi"/>
          <w:sz w:val="24"/>
          <w:szCs w:val="24"/>
        </w:rPr>
        <w:t xml:space="preserve">emphasize </w:t>
      </w:r>
      <w:r w:rsidRPr="00FC19D1" w:rsidR="00FC19D1">
        <w:rPr>
          <w:rFonts w:asciiTheme="majorBidi" w:hAnsiTheme="majorBidi" w:cstheme="majorBidi"/>
          <w:sz w:val="24"/>
          <w:szCs w:val="24"/>
        </w:rPr>
        <w:t>the role of character and virtue in moral philosophy</w:t>
      </w:r>
      <w:r w:rsidR="00001495">
        <w:rPr>
          <w:rFonts w:asciiTheme="majorBidi" w:hAnsiTheme="majorBidi" w:cstheme="majorBidi"/>
          <w:sz w:val="24"/>
          <w:szCs w:val="24"/>
        </w:rPr>
        <w:t>”</w:t>
      </w:r>
      <w:sdt>
        <w:sdtPr>
          <w:rPr>
            <w:rFonts w:asciiTheme="majorBidi" w:hAnsiTheme="majorBidi" w:cstheme="majorBidi"/>
            <w:sz w:val="24"/>
            <w:szCs w:val="24"/>
          </w:rPr>
          <w:id w:val="-1499956772"/>
          <w:citation/>
        </w:sdtPr>
        <w:sdtContent>
          <w:r w:rsidR="00001495">
            <w:rPr>
              <w:rFonts w:asciiTheme="majorBidi" w:hAnsiTheme="majorBidi" w:cstheme="majorBidi"/>
              <w:sz w:val="24"/>
              <w:szCs w:val="24"/>
            </w:rPr>
            <w:fldChar w:fldCharType="begin"/>
          </w:r>
          <w:r w:rsidR="000F4505">
            <w:rPr>
              <w:rFonts w:asciiTheme="majorBidi" w:hAnsiTheme="majorBidi" w:cstheme="majorBidi"/>
              <w:sz w:val="24"/>
              <w:szCs w:val="24"/>
            </w:rPr>
            <w:instrText xml:space="preserve">CITATION Naf19 \p 1 \l 1033 </w:instrText>
          </w:r>
          <w:r w:rsidR="00001495">
            <w:rPr>
              <w:rFonts w:asciiTheme="majorBidi" w:hAnsiTheme="majorBidi" w:cstheme="majorBidi"/>
              <w:sz w:val="24"/>
              <w:szCs w:val="24"/>
            </w:rPr>
            <w:fldChar w:fldCharType="separate"/>
          </w:r>
          <w:r w:rsidR="000F4505">
            <w:rPr>
              <w:rFonts w:asciiTheme="majorBidi" w:hAnsiTheme="majorBidi" w:cstheme="majorBidi"/>
              <w:noProof/>
              <w:sz w:val="24"/>
              <w:szCs w:val="24"/>
            </w:rPr>
            <w:t xml:space="preserve"> </w:t>
          </w:r>
          <w:r w:rsidRPr="000F4505" w:rsidR="000F4505">
            <w:rPr>
              <w:rFonts w:asciiTheme="majorBidi" w:hAnsiTheme="majorBidi" w:cstheme="majorBidi"/>
              <w:noProof/>
              <w:sz w:val="24"/>
              <w:szCs w:val="24"/>
            </w:rPr>
            <w:t>(Athanassoulis, 2019, p. 1)</w:t>
          </w:r>
          <w:r w:rsidR="00001495">
            <w:rPr>
              <w:rFonts w:asciiTheme="majorBidi" w:hAnsiTheme="majorBidi" w:cstheme="majorBidi"/>
              <w:sz w:val="24"/>
              <w:szCs w:val="24"/>
            </w:rPr>
            <w:fldChar w:fldCharType="end"/>
          </w:r>
        </w:sdtContent>
      </w:sdt>
      <w:r w:rsidR="00001495">
        <w:rPr>
          <w:rFonts w:asciiTheme="majorBidi" w:hAnsiTheme="majorBidi" w:cstheme="majorBidi"/>
          <w:sz w:val="24"/>
          <w:szCs w:val="24"/>
        </w:rPr>
        <w:t xml:space="preserve">. </w:t>
      </w:r>
      <w:r w:rsidR="000F4505">
        <w:rPr>
          <w:rFonts w:asciiTheme="majorBidi" w:hAnsiTheme="majorBidi" w:cstheme="majorBidi"/>
          <w:sz w:val="24"/>
          <w:szCs w:val="24"/>
        </w:rPr>
        <w:t xml:space="preserve">Virtue theorists believe that people have certain traits that make them act in a particular way. Notably, virtue theory of ethics does not rely on a concrete principle but a subject of a social construct. In this case, promoting child sex using virtual child pornography is a gross violation of </w:t>
      </w:r>
      <w:r w:rsidR="00571B1B">
        <w:rPr>
          <w:rFonts w:asciiTheme="majorBidi" w:hAnsiTheme="majorBidi" w:cstheme="majorBidi"/>
          <w:sz w:val="24"/>
          <w:szCs w:val="24"/>
        </w:rPr>
        <w:t>the community interest in various fronts. Ideally, parents do not expect their kids to engage</w:t>
      </w:r>
      <w:r w:rsidR="004C6ADF">
        <w:rPr>
          <w:rFonts w:asciiTheme="majorBidi" w:hAnsiTheme="majorBidi" w:cstheme="majorBidi"/>
          <w:sz w:val="24"/>
          <w:szCs w:val="24"/>
        </w:rPr>
        <w:t xml:space="preserve"> in sexual activities due to their cost on the minor's life. On the other hand, </w:t>
      </w:r>
      <w:r w:rsidR="00FC7A8A">
        <w:rPr>
          <w:rFonts w:asciiTheme="majorBidi" w:hAnsiTheme="majorBidi" w:cstheme="majorBidi"/>
          <w:sz w:val="24"/>
          <w:szCs w:val="24"/>
        </w:rPr>
        <w:t xml:space="preserve">the consumers of these videos engage in a vice by watching pornography. </w:t>
      </w:r>
    </w:p>
    <w:p w:rsidR="005369DB" w:rsidP="00E1499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In conclusion, the Supreme Court’s ruling in 2002 </w:t>
      </w:r>
      <w:r w:rsidR="003616DD">
        <w:rPr>
          <w:rFonts w:asciiTheme="majorBidi" w:hAnsiTheme="majorBidi" w:cstheme="majorBidi"/>
          <w:sz w:val="24"/>
          <w:szCs w:val="24"/>
        </w:rPr>
        <w:t xml:space="preserve">erred on several fronts raising vital ethical issues concerning the protection of the minors. The legalization of virtual child pornography exposes the kids to the immense risk and potential sexual abuse. </w:t>
      </w:r>
      <w:r w:rsidR="000C3AFC">
        <w:rPr>
          <w:rFonts w:asciiTheme="majorBidi" w:hAnsiTheme="majorBidi" w:cstheme="majorBidi"/>
          <w:sz w:val="24"/>
          <w:szCs w:val="24"/>
        </w:rPr>
        <w:t xml:space="preserve">Besides, it promotes an activity that advances the well-being of small sections while risking the lives of close to a quarter of the entire population. Congress needs to review </w:t>
      </w:r>
      <w:r w:rsidRPr="000C3AFC" w:rsidR="000C3AFC">
        <w:rPr>
          <w:rFonts w:asciiTheme="majorBidi" w:hAnsiTheme="majorBidi" w:cstheme="majorBidi"/>
          <w:sz w:val="24"/>
          <w:szCs w:val="24"/>
        </w:rPr>
        <w:t>The Federal Child Pornography Prevention Act</w:t>
      </w:r>
      <w:r w:rsidR="0009612D">
        <w:rPr>
          <w:rFonts w:asciiTheme="majorBidi" w:hAnsiTheme="majorBidi" w:cstheme="majorBidi"/>
          <w:sz w:val="24"/>
          <w:szCs w:val="24"/>
        </w:rPr>
        <w:t xml:space="preserve"> to address the issue. </w:t>
      </w:r>
    </w:p>
    <w:p w:rsidR="004E7CEE" w:rsidP="00E14997">
      <w:pPr>
        <w:spacing w:line="480" w:lineRule="auto"/>
        <w:ind w:firstLine="720"/>
        <w:rPr>
          <w:rFonts w:asciiTheme="majorBidi" w:hAnsiTheme="majorBidi" w:cstheme="majorBidi"/>
          <w:sz w:val="24"/>
          <w:szCs w:val="24"/>
        </w:rPr>
      </w:pPr>
    </w:p>
    <w:p w:rsidR="004E7CEE" w:rsidP="00E14997">
      <w:pPr>
        <w:spacing w:line="480" w:lineRule="auto"/>
        <w:ind w:firstLine="720"/>
        <w:rPr>
          <w:rFonts w:asciiTheme="majorBidi" w:hAnsiTheme="majorBidi" w:cstheme="majorBidi"/>
          <w:sz w:val="24"/>
          <w:szCs w:val="24"/>
        </w:rPr>
      </w:pPr>
    </w:p>
    <w:p w:rsidR="004E7CEE" w:rsidP="00E14997">
      <w:pPr>
        <w:spacing w:line="480" w:lineRule="auto"/>
        <w:ind w:firstLine="720"/>
        <w:rPr>
          <w:rFonts w:asciiTheme="majorBidi" w:hAnsiTheme="majorBidi" w:cstheme="majorBidi"/>
          <w:sz w:val="24"/>
          <w:szCs w:val="24"/>
        </w:rPr>
      </w:pPr>
    </w:p>
    <w:p w:rsidR="004E7CEE" w:rsidP="00E14997">
      <w:pPr>
        <w:spacing w:line="480" w:lineRule="auto"/>
        <w:ind w:firstLine="720"/>
        <w:rPr>
          <w:rFonts w:asciiTheme="majorBidi" w:hAnsiTheme="majorBidi" w:cstheme="majorBidi"/>
          <w:sz w:val="24"/>
          <w:szCs w:val="24"/>
        </w:rPr>
      </w:pPr>
    </w:p>
    <w:p w:rsidR="004E7CEE" w:rsidP="00E14997">
      <w:pPr>
        <w:spacing w:line="480" w:lineRule="auto"/>
        <w:ind w:firstLine="720"/>
        <w:rPr>
          <w:rFonts w:asciiTheme="majorBidi" w:hAnsiTheme="majorBidi" w:cstheme="majorBidi"/>
          <w:sz w:val="24"/>
          <w:szCs w:val="24"/>
        </w:rPr>
      </w:pPr>
    </w:p>
    <w:p w:rsidR="004E7CEE" w:rsidP="00E14997">
      <w:pPr>
        <w:spacing w:line="480" w:lineRule="auto"/>
        <w:ind w:firstLine="720"/>
        <w:rPr>
          <w:rFonts w:asciiTheme="majorBidi" w:hAnsiTheme="majorBidi" w:cstheme="majorBidi"/>
          <w:sz w:val="24"/>
          <w:szCs w:val="24"/>
        </w:rPr>
      </w:pPr>
    </w:p>
    <w:p w:rsidR="004E7CEE" w:rsidP="00E14997">
      <w:pPr>
        <w:spacing w:line="480" w:lineRule="auto"/>
        <w:ind w:firstLine="720"/>
        <w:rPr>
          <w:rFonts w:asciiTheme="majorBidi" w:hAnsiTheme="majorBidi" w:cstheme="majorBidi"/>
          <w:sz w:val="24"/>
          <w:szCs w:val="24"/>
        </w:rPr>
      </w:pPr>
    </w:p>
    <w:p w:rsidR="004E7CEE" w:rsidP="004E7CEE">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t>References</w:t>
      </w:r>
    </w:p>
    <w:p w:rsidR="004E7CEE" w:rsidRPr="001C6DBA" w:rsidP="004E7CEE">
      <w:pPr>
        <w:pStyle w:val="Bibliography"/>
        <w:ind w:left="720" w:hanging="720"/>
        <w:rPr>
          <w:rFonts w:asciiTheme="majorBidi" w:hAnsiTheme="majorBidi" w:cstheme="majorBidi"/>
          <w:noProof/>
          <w:sz w:val="24"/>
          <w:szCs w:val="24"/>
        </w:rPr>
      </w:pPr>
      <w:r w:rsidRPr="001C6DBA">
        <w:rPr>
          <w:rFonts w:asciiTheme="majorBidi" w:hAnsiTheme="majorBidi" w:cstheme="majorBidi"/>
          <w:sz w:val="24"/>
          <w:szCs w:val="24"/>
        </w:rPr>
        <w:fldChar w:fldCharType="begin"/>
      </w:r>
      <w:r w:rsidRPr="001C6DBA">
        <w:rPr>
          <w:rFonts w:asciiTheme="majorBidi" w:hAnsiTheme="majorBidi" w:cstheme="majorBidi"/>
          <w:sz w:val="24"/>
          <w:szCs w:val="24"/>
        </w:rPr>
        <w:instrText xml:space="preserve"> BIBLIOGRAPHY  \l 1033 </w:instrText>
      </w:r>
      <w:r w:rsidRPr="001C6DBA">
        <w:rPr>
          <w:rFonts w:asciiTheme="majorBidi" w:hAnsiTheme="majorBidi" w:cstheme="majorBidi"/>
          <w:sz w:val="24"/>
          <w:szCs w:val="24"/>
        </w:rPr>
        <w:fldChar w:fldCharType="separate"/>
      </w:r>
      <w:r w:rsidRPr="001C6DBA">
        <w:rPr>
          <w:rFonts w:asciiTheme="majorBidi" w:hAnsiTheme="majorBidi" w:cstheme="majorBidi"/>
          <w:noProof/>
          <w:sz w:val="24"/>
          <w:szCs w:val="24"/>
        </w:rPr>
        <w:t xml:space="preserve">Athanassoulis, N. (2019). </w:t>
      </w:r>
      <w:r w:rsidRPr="001C6DBA">
        <w:rPr>
          <w:rFonts w:asciiTheme="majorBidi" w:hAnsiTheme="majorBidi" w:cstheme="majorBidi"/>
          <w:i/>
          <w:iCs/>
          <w:noProof/>
          <w:sz w:val="24"/>
          <w:szCs w:val="24"/>
        </w:rPr>
        <w:t>Virtue Ethics</w:t>
      </w:r>
      <w:r w:rsidRPr="001C6DBA">
        <w:rPr>
          <w:rFonts w:asciiTheme="majorBidi" w:hAnsiTheme="majorBidi" w:cstheme="majorBidi"/>
          <w:noProof/>
          <w:sz w:val="24"/>
          <w:szCs w:val="24"/>
        </w:rPr>
        <w:t>. Retrieved from IEP: https://www.iep.utm.edu/virtue/</w:t>
      </w:r>
    </w:p>
    <w:p w:rsidR="004E7CEE" w:rsidRPr="001C6DBA" w:rsidP="004E7CEE">
      <w:pPr>
        <w:pStyle w:val="Bibliography"/>
        <w:ind w:left="720" w:hanging="720"/>
        <w:rPr>
          <w:rFonts w:asciiTheme="majorBidi" w:hAnsiTheme="majorBidi" w:cstheme="majorBidi"/>
          <w:noProof/>
          <w:sz w:val="24"/>
          <w:szCs w:val="24"/>
        </w:rPr>
      </w:pPr>
      <w:r w:rsidRPr="001C6DBA">
        <w:rPr>
          <w:rFonts w:asciiTheme="majorBidi" w:hAnsiTheme="majorBidi" w:cstheme="majorBidi"/>
          <w:noProof/>
          <w:sz w:val="24"/>
          <w:szCs w:val="24"/>
        </w:rPr>
        <w:t xml:space="preserve">Child Trends. (2019, September 13). </w:t>
      </w:r>
      <w:r w:rsidRPr="001C6DBA">
        <w:rPr>
          <w:rFonts w:asciiTheme="majorBidi" w:hAnsiTheme="majorBidi" w:cstheme="majorBidi"/>
          <w:i/>
          <w:iCs/>
          <w:noProof/>
          <w:sz w:val="24"/>
          <w:szCs w:val="24"/>
        </w:rPr>
        <w:t>Key facts about the number of children</w:t>
      </w:r>
      <w:r w:rsidRPr="001C6DBA">
        <w:rPr>
          <w:rFonts w:asciiTheme="majorBidi" w:hAnsiTheme="majorBidi" w:cstheme="majorBidi"/>
          <w:noProof/>
          <w:sz w:val="24"/>
          <w:szCs w:val="24"/>
        </w:rPr>
        <w:t>. Retrieved from Child Trends: https://www.childtrends.org/indicators/number-of-children
</w:t>
      </w:r>
    </w:p>
    <w:p w:rsidR="004E7CEE" w:rsidRPr="001C6DBA" w:rsidP="004E7CEE">
      <w:pPr>
        <w:pStyle w:val="Bibliography"/>
        <w:ind w:left="720" w:hanging="720"/>
        <w:rPr>
          <w:rFonts w:asciiTheme="majorBidi" w:hAnsiTheme="majorBidi" w:cstheme="majorBidi"/>
          <w:noProof/>
          <w:sz w:val="24"/>
          <w:szCs w:val="24"/>
        </w:rPr>
      </w:pPr>
      <w:r w:rsidRPr="001C6DBA">
        <w:rPr>
          <w:rFonts w:asciiTheme="majorBidi" w:hAnsiTheme="majorBidi" w:cstheme="majorBidi"/>
          <w:noProof/>
          <w:sz w:val="24"/>
          <w:szCs w:val="24"/>
        </w:rPr>
        <w:t xml:space="preserve">Louis, T., Jebb, A. T., &amp; Woo, S. E. (2017). Video capture of human behaviors: toward a Big Data approach. </w:t>
      </w:r>
      <w:r w:rsidRPr="001C6DBA">
        <w:rPr>
          <w:rFonts w:asciiTheme="majorBidi" w:hAnsiTheme="majorBidi" w:cstheme="majorBidi"/>
          <w:i/>
          <w:iCs/>
          <w:noProof/>
          <w:sz w:val="24"/>
          <w:szCs w:val="24"/>
        </w:rPr>
        <w:t>Current opinion in behavioral sciences, 18</w:t>
      </w:r>
      <w:r w:rsidRPr="001C6DBA">
        <w:rPr>
          <w:rFonts w:asciiTheme="majorBidi" w:hAnsiTheme="majorBidi" w:cstheme="majorBidi"/>
          <w:noProof/>
          <w:sz w:val="24"/>
          <w:szCs w:val="24"/>
        </w:rPr>
        <w:t>, 17-22.</w:t>
      </w:r>
    </w:p>
    <w:p w:rsidR="004E7CEE" w:rsidRPr="001C6DBA" w:rsidP="004E7CEE">
      <w:pPr>
        <w:pStyle w:val="Bibliography"/>
        <w:ind w:left="720" w:hanging="720"/>
        <w:rPr>
          <w:rFonts w:asciiTheme="majorBidi" w:hAnsiTheme="majorBidi" w:cstheme="majorBidi"/>
          <w:noProof/>
          <w:sz w:val="24"/>
          <w:szCs w:val="24"/>
        </w:rPr>
      </w:pPr>
      <w:r w:rsidRPr="001C6DBA">
        <w:rPr>
          <w:rFonts w:asciiTheme="majorBidi" w:hAnsiTheme="majorBidi" w:cstheme="majorBidi"/>
          <w:noProof/>
          <w:sz w:val="24"/>
          <w:szCs w:val="24"/>
        </w:rPr>
        <w:t xml:space="preserve">Robin, B. (2015). </w:t>
      </w:r>
      <w:r w:rsidRPr="001C6DBA">
        <w:rPr>
          <w:rFonts w:asciiTheme="majorBidi" w:hAnsiTheme="majorBidi" w:cstheme="majorBidi"/>
          <w:i/>
          <w:iCs/>
          <w:noProof/>
          <w:sz w:val="24"/>
          <w:szCs w:val="24"/>
        </w:rPr>
        <w:t>Utilitarianism: A contemporary statement.</w:t>
      </w:r>
      <w:r w:rsidRPr="001C6DBA">
        <w:rPr>
          <w:rFonts w:asciiTheme="majorBidi" w:hAnsiTheme="majorBidi" w:cstheme="majorBidi"/>
          <w:noProof/>
          <w:sz w:val="24"/>
          <w:szCs w:val="24"/>
        </w:rPr>
        <w:t xml:space="preserve"> Routledge.
</w:t>
      </w:r>
    </w:p>
    <w:p w:rsidR="004E7CEE" w:rsidRPr="001C6DBA" w:rsidP="004E7CEE">
      <w:pPr>
        <w:pStyle w:val="Bibliography"/>
        <w:ind w:left="720" w:hanging="720"/>
        <w:rPr>
          <w:rFonts w:asciiTheme="majorBidi" w:hAnsiTheme="majorBidi" w:cstheme="majorBidi"/>
          <w:noProof/>
          <w:sz w:val="24"/>
          <w:szCs w:val="24"/>
        </w:rPr>
      </w:pPr>
      <w:r w:rsidRPr="001C6DBA">
        <w:rPr>
          <w:rFonts w:asciiTheme="majorBidi" w:hAnsiTheme="majorBidi" w:cstheme="majorBidi"/>
          <w:noProof/>
          <w:sz w:val="24"/>
          <w:szCs w:val="24"/>
        </w:rPr>
        <w:t xml:space="preserve">Yaman, A. (2016). </w:t>
      </w:r>
      <w:r w:rsidRPr="001C6DBA">
        <w:rPr>
          <w:rFonts w:asciiTheme="majorBidi" w:hAnsiTheme="majorBidi" w:cstheme="majorBidi"/>
          <w:i/>
          <w:iCs/>
          <w:noProof/>
          <w:sz w:val="24"/>
          <w:szCs w:val="24"/>
        </w:rPr>
        <w:t>Internet child pornography and the law: national and international responses.</w:t>
      </w:r>
      <w:r w:rsidRPr="001C6DBA">
        <w:rPr>
          <w:rFonts w:asciiTheme="majorBidi" w:hAnsiTheme="majorBidi" w:cstheme="majorBidi"/>
          <w:noProof/>
          <w:sz w:val="24"/>
          <w:szCs w:val="24"/>
        </w:rPr>
        <w:t xml:space="preserve"> Routledge.
</w:t>
      </w:r>
      <w:bookmarkStart w:id="0" w:name="_GoBack"/>
      <w:bookmarkEnd w:id="0"/>
    </w:p>
    <w:p w:rsidR="004E7CEE" w:rsidRPr="001C6DBA" w:rsidP="004E7CEE">
      <w:pPr>
        <w:spacing w:line="480" w:lineRule="auto"/>
        <w:ind w:firstLine="720"/>
        <w:rPr>
          <w:rFonts w:asciiTheme="majorBidi" w:hAnsiTheme="majorBidi" w:cstheme="majorBidi"/>
          <w:sz w:val="24"/>
          <w:szCs w:val="24"/>
        </w:rPr>
      </w:pPr>
      <w:r w:rsidRPr="001C6DBA">
        <w:rPr>
          <w:rFonts w:asciiTheme="majorBidi" w:hAnsiTheme="majorBidi" w:cstheme="majorBidi"/>
          <w:sz w:val="24"/>
          <w:szCs w:val="24"/>
        </w:rPr>
        <w:fldChar w:fldCharType="end"/>
      </w:r>
    </w:p>
    <w:p w:rsidR="00543E2B" w:rsidP="00E14997">
      <w:pPr>
        <w:spacing w:line="480" w:lineRule="auto"/>
        <w:ind w:firstLine="720"/>
        <w:rPr>
          <w:rFonts w:asciiTheme="majorBidi" w:hAnsiTheme="majorBidi" w:cstheme="majorBidi"/>
          <w:sz w:val="24"/>
          <w:szCs w:val="24"/>
        </w:rPr>
      </w:pPr>
    </w:p>
    <w:p w:rsidR="00310217" w:rsidRPr="00310217" w:rsidP="00310217">
      <w:pPr>
        <w:spacing w:line="480" w:lineRule="auto"/>
        <w:jc w:val="center"/>
        <w:rPr>
          <w:rFonts w:asciiTheme="majorBidi" w:hAnsiTheme="majorBidi" w:cstheme="majorBidi"/>
          <w:sz w:val="24"/>
          <w:szCs w:val="24"/>
        </w:rPr>
      </w:pPr>
    </w:p>
    <w:sectPr w:rsidSect="00310217">
      <w:headerReference w:type="default" r:id="rId5"/>
      <w:headerReference w:type="first" r:id="rId6"/>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0217" w:rsidRPr="00310217">
    <w:pPr>
      <w:pStyle w:val="Header"/>
      <w:rPr>
        <w:rFonts w:asciiTheme="majorBidi" w:hAnsiTheme="majorBidi" w:cstheme="majorBidi"/>
        <w:sz w:val="24"/>
        <w:szCs w:val="24"/>
      </w:rPr>
    </w:pPr>
    <w:r>
      <w:rPr>
        <w:rFonts w:asciiTheme="majorBidi" w:hAnsiTheme="majorBidi" w:cstheme="majorBidi"/>
        <w:sz w:val="24"/>
        <w:szCs w:val="24"/>
      </w:rPr>
      <w:t xml:space="preserve">Virtual Child Pornography </w:t>
    </w:r>
    <w:r>
      <w:rPr>
        <w:rFonts w:asciiTheme="majorBidi" w:hAnsiTheme="majorBidi" w:cstheme="majorBidi"/>
        <w:sz w:val="24"/>
        <w:szCs w:val="24"/>
      </w:rPr>
      <w:tab/>
    </w:r>
    <w:r>
      <w:rPr>
        <w:rFonts w:asciiTheme="majorBidi" w:hAnsiTheme="majorBidi" w:cstheme="majorBidi"/>
        <w:sz w:val="24"/>
        <w:szCs w:val="24"/>
      </w:rPr>
      <w:tab/>
    </w:r>
    <w:r w:rsidRPr="00310217">
      <w:rPr>
        <w:rFonts w:asciiTheme="majorBidi" w:hAnsiTheme="majorBidi" w:cstheme="majorBidi"/>
        <w:sz w:val="24"/>
        <w:szCs w:val="24"/>
      </w:rPr>
      <w:fldChar w:fldCharType="begin"/>
    </w:r>
    <w:r w:rsidRPr="00310217">
      <w:rPr>
        <w:rFonts w:asciiTheme="majorBidi" w:hAnsiTheme="majorBidi" w:cstheme="majorBidi"/>
        <w:sz w:val="24"/>
        <w:szCs w:val="24"/>
      </w:rPr>
      <w:instrText xml:space="preserve"> PAGE   \* MERGEFORMAT </w:instrText>
    </w:r>
    <w:r w:rsidRPr="00310217">
      <w:rPr>
        <w:rFonts w:asciiTheme="majorBidi" w:hAnsiTheme="majorBidi" w:cstheme="majorBidi"/>
        <w:sz w:val="24"/>
        <w:szCs w:val="24"/>
      </w:rPr>
      <w:fldChar w:fldCharType="separate"/>
    </w:r>
    <w:r w:rsidR="001C6DBA">
      <w:rPr>
        <w:rFonts w:asciiTheme="majorBidi" w:hAnsiTheme="majorBidi" w:cstheme="majorBidi"/>
        <w:noProof/>
        <w:sz w:val="24"/>
        <w:szCs w:val="24"/>
      </w:rPr>
      <w:t>5</w:t>
    </w:r>
    <w:r w:rsidRPr="00310217">
      <w:rPr>
        <w:rFonts w:asciiTheme="majorBidi" w:hAnsiTheme="majorBidi" w:cstheme="majorBidi"/>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0217" w:rsidRPr="00310217">
    <w:pPr>
      <w:pStyle w:val="Header"/>
      <w:rPr>
        <w:rFonts w:asciiTheme="majorBidi" w:hAnsiTheme="majorBidi" w:cstheme="majorBidi"/>
        <w:sz w:val="24"/>
        <w:szCs w:val="24"/>
      </w:rPr>
    </w:pPr>
    <w:r>
      <w:rPr>
        <w:rFonts w:asciiTheme="majorBidi" w:hAnsiTheme="majorBidi" w:cstheme="majorBidi"/>
        <w:sz w:val="24"/>
        <w:szCs w:val="24"/>
      </w:rPr>
      <w:t xml:space="preserve">Running Head: Virtual Child Pornography </w:t>
    </w:r>
    <w:r>
      <w:rPr>
        <w:rFonts w:asciiTheme="majorBidi" w:hAnsiTheme="majorBidi" w:cstheme="majorBidi"/>
        <w:sz w:val="24"/>
        <w:szCs w:val="24"/>
      </w:rPr>
      <w:tab/>
    </w:r>
    <w:r>
      <w:rPr>
        <w:rFonts w:asciiTheme="majorBidi" w:hAnsiTheme="majorBidi" w:cstheme="majorBidi"/>
        <w:sz w:val="24"/>
        <w:szCs w:val="24"/>
      </w:rPr>
      <w:tab/>
    </w:r>
    <w:r w:rsidRPr="00310217">
      <w:rPr>
        <w:rFonts w:asciiTheme="majorBidi" w:hAnsiTheme="majorBidi" w:cstheme="majorBidi"/>
        <w:sz w:val="24"/>
        <w:szCs w:val="24"/>
      </w:rPr>
      <w:fldChar w:fldCharType="begin"/>
    </w:r>
    <w:r w:rsidRPr="00310217">
      <w:rPr>
        <w:rFonts w:asciiTheme="majorBidi" w:hAnsiTheme="majorBidi" w:cstheme="majorBidi"/>
        <w:sz w:val="24"/>
        <w:szCs w:val="24"/>
      </w:rPr>
      <w:instrText xml:space="preserve"> PAGE   \* MERGEFORMAT </w:instrText>
    </w:r>
    <w:r w:rsidRPr="00310217">
      <w:rPr>
        <w:rFonts w:asciiTheme="majorBidi" w:hAnsiTheme="majorBidi" w:cstheme="majorBidi"/>
        <w:sz w:val="24"/>
        <w:szCs w:val="24"/>
      </w:rPr>
      <w:fldChar w:fldCharType="separate"/>
    </w:r>
    <w:r w:rsidR="009C6B53">
      <w:rPr>
        <w:rFonts w:asciiTheme="majorBidi" w:hAnsiTheme="majorBidi" w:cstheme="majorBidi"/>
        <w:noProof/>
        <w:sz w:val="24"/>
        <w:szCs w:val="24"/>
      </w:rPr>
      <w:t>1</w:t>
    </w:r>
    <w:r w:rsidRPr="00310217">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217"/>
    <w:rsid w:val="00001495"/>
    <w:rsid w:val="0009612D"/>
    <w:rsid w:val="000A5E5F"/>
    <w:rsid w:val="000C3AFC"/>
    <w:rsid w:val="000F4505"/>
    <w:rsid w:val="001C5A6E"/>
    <w:rsid w:val="001C6DBA"/>
    <w:rsid w:val="001E4723"/>
    <w:rsid w:val="002836D4"/>
    <w:rsid w:val="00307B1A"/>
    <w:rsid w:val="00310217"/>
    <w:rsid w:val="003616DD"/>
    <w:rsid w:val="003A21C5"/>
    <w:rsid w:val="003E1031"/>
    <w:rsid w:val="00457CD0"/>
    <w:rsid w:val="00491B21"/>
    <w:rsid w:val="004C6ADF"/>
    <w:rsid w:val="004E7CEE"/>
    <w:rsid w:val="004F095B"/>
    <w:rsid w:val="005369DB"/>
    <w:rsid w:val="00543E2B"/>
    <w:rsid w:val="00571B1B"/>
    <w:rsid w:val="00574C73"/>
    <w:rsid w:val="005A2C1D"/>
    <w:rsid w:val="005E4D1E"/>
    <w:rsid w:val="00621C79"/>
    <w:rsid w:val="006431A8"/>
    <w:rsid w:val="0068152C"/>
    <w:rsid w:val="006A4EBC"/>
    <w:rsid w:val="006D3184"/>
    <w:rsid w:val="006D6D37"/>
    <w:rsid w:val="006F5F49"/>
    <w:rsid w:val="0074007A"/>
    <w:rsid w:val="00767083"/>
    <w:rsid w:val="007D25ED"/>
    <w:rsid w:val="008147F2"/>
    <w:rsid w:val="008262D3"/>
    <w:rsid w:val="008575BD"/>
    <w:rsid w:val="008A73FD"/>
    <w:rsid w:val="008E7DBD"/>
    <w:rsid w:val="00905721"/>
    <w:rsid w:val="009C5D95"/>
    <w:rsid w:val="009C6B53"/>
    <w:rsid w:val="00A32B38"/>
    <w:rsid w:val="00A60ADD"/>
    <w:rsid w:val="00A8277F"/>
    <w:rsid w:val="00AB4203"/>
    <w:rsid w:val="00AD0605"/>
    <w:rsid w:val="00AD72EF"/>
    <w:rsid w:val="00AF76EF"/>
    <w:rsid w:val="00B43DD1"/>
    <w:rsid w:val="00BA5D2D"/>
    <w:rsid w:val="00BC4F29"/>
    <w:rsid w:val="00BD5789"/>
    <w:rsid w:val="00C157BD"/>
    <w:rsid w:val="00C61836"/>
    <w:rsid w:val="00D1096E"/>
    <w:rsid w:val="00D20173"/>
    <w:rsid w:val="00D30B32"/>
    <w:rsid w:val="00D755DF"/>
    <w:rsid w:val="00D878D6"/>
    <w:rsid w:val="00E14997"/>
    <w:rsid w:val="00E412D6"/>
    <w:rsid w:val="00EE4D9F"/>
    <w:rsid w:val="00F75FFD"/>
    <w:rsid w:val="00F85559"/>
    <w:rsid w:val="00FC19D1"/>
    <w:rsid w:val="00FC7A8A"/>
    <w:rsid w:val="00FD1DE0"/>
    <w:rsid w:val="00FF778C"/>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chartTrackingRefBased/>
  <w15:docId w15:val="{730FBBB3-B51E-4940-925F-326D7820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2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217"/>
  </w:style>
  <w:style w:type="paragraph" w:styleId="Footer">
    <w:name w:val="footer"/>
    <w:basedOn w:val="Normal"/>
    <w:link w:val="FooterChar"/>
    <w:uiPriority w:val="99"/>
    <w:unhideWhenUsed/>
    <w:rsid w:val="003102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217"/>
  </w:style>
  <w:style w:type="paragraph" w:styleId="Bibliography">
    <w:name w:val="Bibliography"/>
    <w:basedOn w:val="Normal"/>
    <w:next w:val="Normal"/>
    <w:uiPriority w:val="37"/>
    <w:unhideWhenUsed/>
    <w:rsid w:val="004E7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Chi19</b:Tag>
    <b:SourceType>InternetSite</b:SourceType>
    <b:Guid>{94DD3FFD-4AE4-49D2-9950-52178397FD1E}</b:Guid>
    <b:Title>Key facts about the number of children</b:Title>
    <b:Year>2019</b:Year>
    <b:Author>
      <b:Author>
        <b:Corporate>Child Trends</b:Corporate>
      </b:Author>
    </b:Author>
    <b:InternetSiteTitle>Child Trends </b:InternetSiteTitle>
    <b:Month>September </b:Month>
    <b:Day>13</b:Day>
    <b:URL>https://www.childtrends.org/indicators/number-of-children</b:URL>
    <b:RefOrder>4</b:RefOrder>
  </b:Source>
  <b:Source>
    <b:Tag>Naf19</b:Tag>
    <b:SourceType>InternetSite</b:SourceType>
    <b:Guid>{F8CD52A6-BC72-4F08-98A7-D947203777C2}</b:Guid>
    <b:Author>
      <b:Author>
        <b:NameList>
          <b:Person>
            <b:Last>Athanassoulis</b:Last>
            <b:First>Nafsika</b:First>
          </b:Person>
        </b:NameList>
      </b:Author>
    </b:Author>
    <b:Title>Virtue Ethics</b:Title>
    <b:InternetSiteTitle>IEP</b:InternetSiteTitle>
    <b:Year>2019</b:Year>
    <b:URL>https://www.iep.utm.edu/virtue/</b:URL>
    <b:RefOrder>5</b:RefOrder>
  </b:Source>
  <b:Source>
    <b:Tag>Bar151</b:Tag>
    <b:SourceType>Book</b:SourceType>
    <b:Guid>{D9FBFA73-21DF-4357-8467-CAA5ED5A802D}</b:Guid>
    <b:Title>Utilitarianism: A contemporary statement</b:Title>
    <b:Year>2015</b:Year>
    <b:Author>
      <b:Author>
        <b:NameList>
          <b:Person>
            <b:Last>Robin</b:Last>
            <b:First>Barrow</b:First>
          </b:Person>
        </b:NameList>
      </b:Author>
    </b:Author>
    <b:Publisher>Routledge </b:Publisher>
    <b:RefOrder>2</b:RefOrder>
  </b:Source>
  <b:Source>
    <b:Tag>Akd16</b:Tag>
    <b:SourceType>Book</b:SourceType>
    <b:Guid>{EB894615-5C95-4EF2-A815-E09BA341F96C}</b:Guid>
    <b:Author>
      <b:Author>
        <b:NameList>
          <b:Person>
            <b:Last>Yaman</b:Last>
            <b:First>Akdeniz</b:First>
          </b:Person>
        </b:NameList>
      </b:Author>
    </b:Author>
    <b:Title>Internet child pornography and the law: national and international responses</b:Title>
    <b:Year>2016</b:Year>
    <b:Publisher>Routledge </b:Publisher>
    <b:RefOrder>1</b:RefOrder>
  </b:Source>
  <b:Source>
    <b:Tag>Tay17</b:Tag>
    <b:SourceType>JournalArticle</b:SourceType>
    <b:Guid>{ADB2AC90-ED62-4850-852B-66ABB1743032}</b:Guid>
    <b:Title>Video capture of human behaviors: toward a Big Data approach</b:Title>
    <b:Year>2017</b:Year>
    <b:Author>
      <b:Author>
        <b:NameList>
          <b:Person>
            <b:Last>Louis</b:Last>
            <b:First>Tay</b:First>
          </b:Person>
          <b:Person>
            <b:Last>Jebb</b:Last>
            <b:First>Andrew</b:First>
            <b:Middle>T.</b:Middle>
          </b:Person>
          <b:Person>
            <b:Last>Woo</b:Last>
            <b:First>Sang</b:First>
            <b:Middle>Eun</b:Middle>
          </b:Person>
        </b:NameList>
      </b:Author>
    </b:Author>
    <b:JournalName>Current opinion in behavioral sciences, 18,</b:JournalName>
    <b:Pages>17-22</b:Pages>
    <b:RefOrder>3</b:RefOrder>
  </b:Source>
</b:Sources>
</file>

<file path=customXml/itemProps1.xml><?xml version="1.0" encoding="utf-8"?>
<ds:datastoreItem xmlns:ds="http://schemas.openxmlformats.org/officeDocument/2006/customXml" ds:itemID="{48701992-242E-4C48-88C1-6BDAB1F2D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5</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desktop</cp:lastModifiedBy>
  <cp:revision>67</cp:revision>
  <dcterms:created xsi:type="dcterms:W3CDTF">2019-10-12T12:19:00Z</dcterms:created>
  <dcterms:modified xsi:type="dcterms:W3CDTF">2019-10-12T15:45:00Z</dcterms:modified>
</cp:coreProperties>
</file>