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98854" w14:textId="243A1184" w:rsidR="00822469" w:rsidRDefault="00587096">
      <w:r>
        <w:t>Erica</w:t>
      </w:r>
    </w:p>
    <w:p w14:paraId="1E2F9F60" w14:textId="77777777" w:rsidR="00587096" w:rsidRPr="00587096" w:rsidRDefault="00587096" w:rsidP="00587096">
      <w:pPr>
        <w:shd w:val="clear" w:color="auto" w:fill="FFFFFF"/>
        <w:spacing w:before="180" w:after="180" w:line="240" w:lineRule="auto"/>
        <w:rPr>
          <w:rFonts w:ascii="Helvetica" w:eastAsia="Times New Roman" w:hAnsi="Helvetica" w:cs="Helvetica"/>
          <w:color w:val="3D494C"/>
          <w:sz w:val="24"/>
          <w:szCs w:val="24"/>
        </w:rPr>
      </w:pPr>
      <w:r w:rsidRPr="00587096">
        <w:rPr>
          <w:rFonts w:ascii="Helvetica" w:eastAsia="Times New Roman" w:hAnsi="Helvetica" w:cs="Helvetica"/>
          <w:color w:val="3D494C"/>
          <w:sz w:val="24"/>
          <w:szCs w:val="24"/>
        </w:rPr>
        <w:t xml:space="preserve">Beginning with the Second Circuit Court of Appeals addressing the aspects of law and science when it is applied to employment testing. It addresses how using assessment as part of the hiring process is not a legal subject because it carries its own form of methodology when applied to the general field of educational and industrial psychology (Scott et al., 201). The federal Uniform Guidelines on Employee Selection Procedures acknowledge the use of assessment when applied to employment decisions because it falls under what they conclude as a form of measure for employment selection (Scott et al., 201). The selection procedure has been challenged within the </w:t>
      </w:r>
      <w:proofErr w:type="gramStart"/>
      <w:r w:rsidRPr="00587096">
        <w:rPr>
          <w:rFonts w:ascii="Helvetica" w:eastAsia="Times New Roman" w:hAnsi="Helvetica" w:cs="Helvetica"/>
          <w:color w:val="3D494C"/>
          <w:sz w:val="24"/>
          <w:szCs w:val="24"/>
        </w:rPr>
        <w:t>federal,  state</w:t>
      </w:r>
      <w:proofErr w:type="gramEnd"/>
      <w:r w:rsidRPr="00587096">
        <w:rPr>
          <w:rFonts w:ascii="Helvetica" w:eastAsia="Times New Roman" w:hAnsi="Helvetica" w:cs="Helvetica"/>
          <w:color w:val="3D494C"/>
          <w:sz w:val="24"/>
          <w:szCs w:val="24"/>
        </w:rPr>
        <w:t>, and local employment discrimination laws, therefore calling on the government to step in and create laws that prohibit discrimination within the selection process. </w:t>
      </w:r>
    </w:p>
    <w:p w14:paraId="2401DE26" w14:textId="77777777" w:rsidR="00587096" w:rsidRPr="00587096" w:rsidRDefault="00587096" w:rsidP="00587096">
      <w:pPr>
        <w:shd w:val="clear" w:color="auto" w:fill="FFFFFF"/>
        <w:spacing w:before="180" w:after="0" w:line="240" w:lineRule="auto"/>
        <w:rPr>
          <w:rFonts w:ascii="Helvetica" w:eastAsia="Times New Roman" w:hAnsi="Helvetica" w:cs="Helvetica"/>
          <w:color w:val="3D494C"/>
          <w:sz w:val="24"/>
          <w:szCs w:val="24"/>
        </w:rPr>
      </w:pPr>
      <w:r w:rsidRPr="00587096">
        <w:rPr>
          <w:rFonts w:ascii="Helvetica" w:eastAsia="Times New Roman" w:hAnsi="Helvetica" w:cs="Helvetica"/>
          <w:color w:val="3D494C"/>
          <w:sz w:val="24"/>
          <w:szCs w:val="24"/>
        </w:rPr>
        <w:br/>
        <w:t>Assessments are great to use as long as the intent behind them doesn't include discrimination. Using assessments to facilitate organizational change calls for new, more outcome-based measures (</w:t>
      </w:r>
      <w:proofErr w:type="spellStart"/>
      <w:r w:rsidRPr="00587096">
        <w:rPr>
          <w:rFonts w:ascii="Helvetica" w:eastAsia="Times New Roman" w:hAnsi="Helvetica" w:cs="Helvetica"/>
          <w:color w:val="3D494C"/>
          <w:sz w:val="24"/>
          <w:szCs w:val="24"/>
        </w:rPr>
        <w:t>Lakos</w:t>
      </w:r>
      <w:proofErr w:type="spellEnd"/>
      <w:r w:rsidRPr="00587096">
        <w:rPr>
          <w:rFonts w:ascii="Helvetica" w:eastAsia="Times New Roman" w:hAnsi="Helvetica" w:cs="Helvetica"/>
          <w:color w:val="3D494C"/>
          <w:sz w:val="24"/>
          <w:szCs w:val="24"/>
        </w:rPr>
        <w:t xml:space="preserve"> et al., 2004). When creating, developing, and disbursing assessments, they must be formed to include any legal and professional standards. The authors propose the importance of validity during the assessment process; therefore, it helps creates consistency. Having different measures to acknowledge assessments are job-related reassures the job can eliminate any connections to the potential for liability. As assessment practices evolve, so do the chances of possible litigation. Also, employers can help their organization by adequately providing proper training and direction to their employees, so when they do offer them assessments, at least they had some form of training beforehand, which helps them prepare with knowledge and skills pertaining to the job. </w:t>
      </w:r>
      <w:proofErr w:type="gramStart"/>
      <w:r w:rsidRPr="00587096">
        <w:rPr>
          <w:rFonts w:ascii="Helvetica" w:eastAsia="Times New Roman" w:hAnsi="Helvetica" w:cs="Helvetica"/>
          <w:color w:val="3D494C"/>
          <w:sz w:val="24"/>
          <w:szCs w:val="24"/>
        </w:rPr>
        <w:t>Overall</w:t>
      </w:r>
      <w:proofErr w:type="gramEnd"/>
      <w:r w:rsidRPr="00587096">
        <w:rPr>
          <w:rFonts w:ascii="Helvetica" w:eastAsia="Times New Roman" w:hAnsi="Helvetica" w:cs="Helvetica"/>
          <w:color w:val="3D494C"/>
          <w:sz w:val="24"/>
          <w:szCs w:val="24"/>
        </w:rPr>
        <w:t xml:space="preserve"> a business can use an assessment to its advantage to train and develop employees to the next level in the company.  They have to make sure that they are considerate of the procedures they are taking to get there. </w:t>
      </w:r>
    </w:p>
    <w:p w14:paraId="76B41B16" w14:textId="77777777" w:rsidR="00587096" w:rsidRPr="00587096" w:rsidRDefault="00587096" w:rsidP="00587096">
      <w:pPr>
        <w:shd w:val="clear" w:color="auto" w:fill="FFFFFF"/>
        <w:spacing w:before="180" w:after="180" w:line="240" w:lineRule="auto"/>
        <w:rPr>
          <w:rFonts w:ascii="Helvetica" w:eastAsia="Times New Roman" w:hAnsi="Helvetica" w:cs="Helvetica"/>
          <w:color w:val="3D494C"/>
          <w:sz w:val="24"/>
          <w:szCs w:val="24"/>
        </w:rPr>
      </w:pPr>
      <w:r w:rsidRPr="00587096">
        <w:rPr>
          <w:rFonts w:ascii="Helvetica" w:eastAsia="Times New Roman" w:hAnsi="Helvetica" w:cs="Helvetica"/>
          <w:color w:val="3D494C"/>
          <w:sz w:val="24"/>
          <w:szCs w:val="24"/>
        </w:rPr>
        <w:t> </w:t>
      </w:r>
    </w:p>
    <w:p w14:paraId="76801F8A" w14:textId="77777777" w:rsidR="00587096" w:rsidRPr="00587096" w:rsidRDefault="00587096" w:rsidP="00587096">
      <w:pPr>
        <w:shd w:val="clear" w:color="auto" w:fill="FFFFFF"/>
        <w:spacing w:before="180" w:after="180" w:line="240" w:lineRule="auto"/>
        <w:rPr>
          <w:rFonts w:ascii="Helvetica" w:eastAsia="Times New Roman" w:hAnsi="Helvetica" w:cs="Helvetica"/>
          <w:color w:val="3D494C"/>
          <w:sz w:val="24"/>
          <w:szCs w:val="24"/>
        </w:rPr>
      </w:pPr>
      <w:r w:rsidRPr="00587096">
        <w:rPr>
          <w:rFonts w:ascii="Helvetica" w:eastAsia="Times New Roman" w:hAnsi="Helvetica" w:cs="Helvetica"/>
          <w:color w:val="3D494C"/>
          <w:sz w:val="24"/>
          <w:szCs w:val="24"/>
        </w:rPr>
        <w:t>References</w:t>
      </w:r>
    </w:p>
    <w:p w14:paraId="2C46D769" w14:textId="77777777" w:rsidR="00587096" w:rsidRPr="00587096" w:rsidRDefault="00587096" w:rsidP="00587096">
      <w:pPr>
        <w:shd w:val="clear" w:color="auto" w:fill="FFFFFF"/>
        <w:spacing w:before="180" w:after="180" w:line="240" w:lineRule="auto"/>
        <w:rPr>
          <w:rFonts w:ascii="Helvetica" w:eastAsia="Times New Roman" w:hAnsi="Helvetica" w:cs="Helvetica"/>
          <w:color w:val="3D494C"/>
          <w:sz w:val="24"/>
          <w:szCs w:val="24"/>
        </w:rPr>
      </w:pPr>
      <w:r w:rsidRPr="00587096">
        <w:rPr>
          <w:rFonts w:ascii="Helvetica" w:eastAsia="Times New Roman" w:hAnsi="Helvetica" w:cs="Helvetica"/>
          <w:color w:val="3D494C"/>
          <w:sz w:val="24"/>
          <w:szCs w:val="24"/>
        </w:rPr>
        <w:t> </w:t>
      </w:r>
    </w:p>
    <w:p w14:paraId="34C2AEBD" w14:textId="77777777" w:rsidR="00587096" w:rsidRPr="00587096" w:rsidRDefault="00587096" w:rsidP="00587096">
      <w:pPr>
        <w:shd w:val="clear" w:color="auto" w:fill="FFFFFF"/>
        <w:spacing w:after="0" w:line="240" w:lineRule="auto"/>
        <w:rPr>
          <w:rFonts w:ascii="Helvetica" w:eastAsia="Times New Roman" w:hAnsi="Helvetica" w:cs="Helvetica"/>
          <w:color w:val="3D494C"/>
          <w:sz w:val="24"/>
          <w:szCs w:val="24"/>
        </w:rPr>
      </w:pPr>
      <w:proofErr w:type="spellStart"/>
      <w:r w:rsidRPr="00587096">
        <w:rPr>
          <w:rFonts w:ascii="Helvetica" w:eastAsia="Times New Roman" w:hAnsi="Helvetica" w:cs="Helvetica"/>
          <w:color w:val="3D494C"/>
          <w:sz w:val="24"/>
          <w:szCs w:val="24"/>
        </w:rPr>
        <w:t>Lakos</w:t>
      </w:r>
      <w:proofErr w:type="spellEnd"/>
      <w:r w:rsidRPr="00587096">
        <w:rPr>
          <w:rFonts w:ascii="Helvetica" w:eastAsia="Times New Roman" w:hAnsi="Helvetica" w:cs="Helvetica"/>
          <w:color w:val="3D494C"/>
          <w:sz w:val="24"/>
          <w:szCs w:val="24"/>
        </w:rPr>
        <w:t>, A., &amp; Phipps, S. (2004). Creating a Culture of Assessment: A Catalyst for Organizational Change.</w:t>
      </w:r>
      <w:r w:rsidRPr="00587096">
        <w:rPr>
          <w:rFonts w:ascii="Helvetica" w:eastAsia="Times New Roman" w:hAnsi="Helvetica" w:cs="Helvetica"/>
          <w:i/>
          <w:iCs/>
          <w:color w:val="3D494C"/>
          <w:sz w:val="24"/>
          <w:szCs w:val="24"/>
        </w:rPr>
        <w:t> </w:t>
      </w:r>
      <w:proofErr w:type="gramStart"/>
      <w:r w:rsidRPr="00587096">
        <w:rPr>
          <w:rFonts w:ascii="Helvetica" w:eastAsia="Times New Roman" w:hAnsi="Helvetica" w:cs="Helvetica"/>
          <w:i/>
          <w:iCs/>
          <w:color w:val="3D494C"/>
          <w:sz w:val="24"/>
          <w:szCs w:val="24"/>
        </w:rPr>
        <w:t>Portal :</w:t>
      </w:r>
      <w:proofErr w:type="gramEnd"/>
      <w:r w:rsidRPr="00587096">
        <w:rPr>
          <w:rFonts w:ascii="Helvetica" w:eastAsia="Times New Roman" w:hAnsi="Helvetica" w:cs="Helvetica"/>
          <w:i/>
          <w:iCs/>
          <w:color w:val="3D494C"/>
          <w:sz w:val="24"/>
          <w:szCs w:val="24"/>
        </w:rPr>
        <w:t xml:space="preserve"> Libraries and the Academy, 4</w:t>
      </w:r>
      <w:r w:rsidRPr="00587096">
        <w:rPr>
          <w:rFonts w:ascii="Helvetica" w:eastAsia="Times New Roman" w:hAnsi="Helvetica" w:cs="Helvetica"/>
          <w:color w:val="3D494C"/>
          <w:sz w:val="24"/>
          <w:szCs w:val="24"/>
        </w:rPr>
        <w:t>(3), 345-361. http://dx.doi.org.proxy-library.ashford.edu/10.1353/pla.2004.0052</w:t>
      </w:r>
    </w:p>
    <w:p w14:paraId="2BB6491A" w14:textId="77777777" w:rsidR="00587096" w:rsidRPr="00587096" w:rsidRDefault="00587096" w:rsidP="00587096">
      <w:pPr>
        <w:shd w:val="clear" w:color="auto" w:fill="FFFFFF"/>
        <w:spacing w:after="0" w:line="240" w:lineRule="auto"/>
        <w:rPr>
          <w:rFonts w:ascii="Helvetica" w:eastAsia="Times New Roman" w:hAnsi="Helvetica" w:cs="Helvetica"/>
          <w:color w:val="3D494C"/>
          <w:sz w:val="24"/>
          <w:szCs w:val="24"/>
        </w:rPr>
      </w:pPr>
      <w:r w:rsidRPr="00587096">
        <w:rPr>
          <w:rFonts w:ascii="Helvetica" w:eastAsia="Times New Roman" w:hAnsi="Helvetica" w:cs="Helvetica"/>
          <w:color w:val="3D494C"/>
          <w:sz w:val="24"/>
          <w:szCs w:val="24"/>
        </w:rPr>
        <w:t> </w:t>
      </w:r>
    </w:p>
    <w:p w14:paraId="0B1F2604" w14:textId="77777777" w:rsidR="00587096" w:rsidRPr="00587096" w:rsidRDefault="00587096" w:rsidP="00587096">
      <w:pPr>
        <w:shd w:val="clear" w:color="auto" w:fill="FFFFFF"/>
        <w:spacing w:after="0" w:line="240" w:lineRule="auto"/>
        <w:rPr>
          <w:rFonts w:ascii="Helvetica" w:eastAsia="Times New Roman" w:hAnsi="Helvetica" w:cs="Helvetica"/>
          <w:color w:val="3D494C"/>
          <w:sz w:val="24"/>
          <w:szCs w:val="24"/>
        </w:rPr>
      </w:pPr>
      <w:r w:rsidRPr="00587096">
        <w:rPr>
          <w:rFonts w:ascii="Helvetica" w:eastAsia="Times New Roman" w:hAnsi="Helvetica" w:cs="Helvetica"/>
          <w:color w:val="3D494C"/>
          <w:sz w:val="24"/>
          <w:szCs w:val="24"/>
        </w:rPr>
        <w:t>Scott, J. C. &amp; Reynolds, D. H. (Eds.). (2010). </w:t>
      </w:r>
      <w:r w:rsidRPr="00587096">
        <w:rPr>
          <w:rFonts w:ascii="Helvetica" w:eastAsia="Times New Roman" w:hAnsi="Helvetica" w:cs="Helvetica"/>
          <w:i/>
          <w:iCs/>
          <w:color w:val="3D494C"/>
          <w:sz w:val="24"/>
          <w:szCs w:val="24"/>
        </w:rPr>
        <w:t>Handbook of workplace assessment</w:t>
      </w:r>
      <w:r w:rsidRPr="00587096">
        <w:rPr>
          <w:rFonts w:ascii="Helvetica" w:eastAsia="Times New Roman" w:hAnsi="Helvetica" w:cs="Helvetica"/>
          <w:color w:val="3D494C"/>
          <w:sz w:val="24"/>
          <w:szCs w:val="24"/>
        </w:rPr>
        <w:t>. Retrieved from https://redshelf.com</w:t>
      </w:r>
    </w:p>
    <w:p w14:paraId="45022A70" w14:textId="77777777" w:rsidR="00587096" w:rsidRPr="00587096" w:rsidRDefault="00587096" w:rsidP="00587096">
      <w:pPr>
        <w:shd w:val="clear" w:color="auto" w:fill="FFFFFF"/>
        <w:spacing w:before="180" w:after="0" w:line="240" w:lineRule="auto"/>
        <w:rPr>
          <w:rFonts w:ascii="Helvetica" w:eastAsia="Times New Roman" w:hAnsi="Helvetica" w:cs="Helvetica"/>
          <w:color w:val="3D494C"/>
          <w:sz w:val="24"/>
          <w:szCs w:val="24"/>
        </w:rPr>
      </w:pPr>
      <w:r w:rsidRPr="00587096">
        <w:rPr>
          <w:rFonts w:ascii="Helvetica" w:eastAsia="Times New Roman" w:hAnsi="Helvetica" w:cs="Helvetica"/>
          <w:color w:val="3D494C"/>
          <w:sz w:val="24"/>
          <w:szCs w:val="24"/>
        </w:rPr>
        <w:t> </w:t>
      </w:r>
    </w:p>
    <w:p w14:paraId="62BEC606" w14:textId="389CD35A" w:rsidR="00587096" w:rsidRDefault="00587096">
      <w:r>
        <w:t>Erick</w:t>
      </w:r>
    </w:p>
    <w:p w14:paraId="1132BF62" w14:textId="77777777" w:rsidR="00587096" w:rsidRDefault="00587096" w:rsidP="0058709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Because we live in a country that allows for people to show any just cause for choices, it is imperative that organizations to know and understand legal ramifications that they could face by using assessments to decide employment promotions or the right to work. </w:t>
      </w:r>
      <w:r>
        <w:rPr>
          <w:rFonts w:ascii="Helvetica" w:hAnsi="Helvetica" w:cs="Helvetica"/>
          <w:color w:val="3D494C"/>
        </w:rPr>
        <w:lastRenderedPageBreak/>
        <w:t>some categories that must be considered are each leader that are using an assessment must be able to come to an agreement on what the categories and definitions of potential is going to be; each must be able to have solicitation of nominations, each nominations must be by all managers; there must be an agreed upon assessment of all candidates; there must be a review  by senior management and they must be willing to identify the final candidates; and the development activities for potential individuals must be clarified (Riggio, 2008).</w:t>
      </w:r>
    </w:p>
    <w:p w14:paraId="62E4D729" w14:textId="77777777" w:rsidR="00587096" w:rsidRDefault="00587096" w:rsidP="0058709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It is clear that this country has basic laws and government regulations that are legal mandates that will affect all individuals living in our society. Ethical codes may range from enforceable to exemplary to educational principals that guide the professional behavior and conduct of members of any profession (Camara, 1997). Professional guidelines, principals and standards are also developed to educate and guide professionals in more technical activities (Camara, 1997). All three layers of regulations or standards exist in testing and assessment. Laws which affect testing, primarily strive to protect certain segments of the public from specific abuses. Ethical standards and codes attempt to establish a higher normative standard for a broader range professional behavior (Camara, 1997).</w:t>
      </w:r>
    </w:p>
    <w:p w14:paraId="001F2175" w14:textId="77777777" w:rsidR="00587096" w:rsidRDefault="00587096" w:rsidP="0058709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Usually, the consequences that companies have when using assessments are due to the impact these assessments have by the adverse impact on minorities and women. In other words, they tend to be discouraging and have </w:t>
      </w:r>
      <w:proofErr w:type="gramStart"/>
      <w:r>
        <w:rPr>
          <w:rFonts w:ascii="Helvetica" w:hAnsi="Helvetica" w:cs="Helvetica"/>
          <w:color w:val="3D494C"/>
        </w:rPr>
        <w:t>a</w:t>
      </w:r>
      <w:proofErr w:type="gramEnd"/>
      <w:r>
        <w:rPr>
          <w:rFonts w:ascii="Helvetica" w:hAnsi="Helvetica" w:cs="Helvetica"/>
          <w:color w:val="3D494C"/>
        </w:rPr>
        <w:t xml:space="preserve"> institutionalizing failure for individuals (Camara, 1997). It must be acknowledged that consequences of any testing are truly in the eye of the beholder. The same assessment which presents several potential benefits to some groups, such as policy makers may also result in negative consequences to individuals such as the people that are taking the assessment (</w:t>
      </w:r>
      <w:proofErr w:type="spellStart"/>
      <w:r>
        <w:rPr>
          <w:rFonts w:ascii="Helvetica" w:hAnsi="Helvetica" w:cs="Helvetica"/>
          <w:color w:val="3D494C"/>
        </w:rPr>
        <w:t>Ployhart</w:t>
      </w:r>
      <w:proofErr w:type="spellEnd"/>
      <w:r>
        <w:rPr>
          <w:rFonts w:ascii="Helvetica" w:hAnsi="Helvetica" w:cs="Helvetica"/>
          <w:color w:val="3D494C"/>
        </w:rPr>
        <w:t>, 2008). It is important that leaders that use assessments use subjective processes. Additionally paying attention to the consequences of testing, and how these are determined and evaluated by the different participants is essential to help in reducing any misuse and to help improve assessment practices due to the different ethnic and cultures of people (Camara, 1997).</w:t>
      </w:r>
    </w:p>
    <w:p w14:paraId="455325A6" w14:textId="77777777" w:rsidR="00587096" w:rsidRDefault="00587096" w:rsidP="0058709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There are two primary means of making sure that professionalism, contemporary legal and professional standards are followed. By making sure that the strategic position and strategic area are each adhered to.  Strategic position is defined as the potential to effectively perform in key positions that may be at the core of the organizations success; and strategic area is defined as the potential </w:t>
      </w:r>
      <w:proofErr w:type="gramStart"/>
      <w:r>
        <w:rPr>
          <w:rFonts w:ascii="Helvetica" w:hAnsi="Helvetica" w:cs="Helvetica"/>
          <w:color w:val="3D494C"/>
        </w:rPr>
        <w:t>to  perform</w:t>
      </w:r>
      <w:proofErr w:type="gramEnd"/>
      <w:r>
        <w:rPr>
          <w:rFonts w:ascii="Helvetica" w:hAnsi="Helvetica" w:cs="Helvetica"/>
          <w:color w:val="3D494C"/>
        </w:rPr>
        <w:t>  effectively  in  key  functions, business units, or geographical areas that are central to the organization ’ s strategic objectives (</w:t>
      </w:r>
      <w:proofErr w:type="spellStart"/>
      <w:r>
        <w:rPr>
          <w:rFonts w:ascii="Helvetica" w:hAnsi="Helvetica" w:cs="Helvetica"/>
          <w:color w:val="3D494C"/>
        </w:rPr>
        <w:t>Ployhart</w:t>
      </w:r>
      <w:proofErr w:type="spellEnd"/>
      <w:r>
        <w:rPr>
          <w:rFonts w:ascii="Helvetica" w:hAnsi="Helvetica" w:cs="Helvetica"/>
          <w:color w:val="3D494C"/>
        </w:rPr>
        <w:t>, 2008).</w:t>
      </w:r>
    </w:p>
    <w:p w14:paraId="21D8283A" w14:textId="77777777" w:rsidR="00587096" w:rsidRDefault="00587096" w:rsidP="0058709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References</w:t>
      </w:r>
    </w:p>
    <w:p w14:paraId="7C8BEF8A" w14:textId="77777777" w:rsidR="00587096" w:rsidRDefault="00587096" w:rsidP="00587096">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Riggio, R. E. (2008). Leadership development: The current state and future expectations. </w:t>
      </w:r>
      <w:r>
        <w:rPr>
          <w:rStyle w:val="Emphasis"/>
          <w:rFonts w:ascii="Helvetica" w:hAnsi="Helvetica" w:cs="Helvetica"/>
          <w:color w:val="3D494C"/>
        </w:rPr>
        <w:t>Consulting Psychology Journal: Practice and Research, 60</w:t>
      </w:r>
      <w:r>
        <w:rPr>
          <w:rFonts w:ascii="Helvetica" w:hAnsi="Helvetica" w:cs="Helvetica"/>
          <w:color w:val="3D494C"/>
        </w:rPr>
        <w:t>(4), 383-392.</w:t>
      </w:r>
    </w:p>
    <w:p w14:paraId="1F71835C" w14:textId="77777777" w:rsidR="00587096" w:rsidRDefault="00587096" w:rsidP="00587096">
      <w:pPr>
        <w:pStyle w:val="NormalWeb"/>
        <w:shd w:val="clear" w:color="auto" w:fill="FFFFFF"/>
        <w:spacing w:before="180" w:beforeAutospacing="0" w:after="0" w:afterAutospacing="0"/>
        <w:rPr>
          <w:rFonts w:ascii="Helvetica" w:hAnsi="Helvetica" w:cs="Helvetica"/>
          <w:color w:val="3D494C"/>
        </w:rPr>
      </w:pPr>
      <w:proofErr w:type="spellStart"/>
      <w:r>
        <w:rPr>
          <w:rFonts w:ascii="Helvetica" w:hAnsi="Helvetica" w:cs="Helvetica"/>
          <w:color w:val="3D494C"/>
        </w:rPr>
        <w:t>Ployhart</w:t>
      </w:r>
      <w:proofErr w:type="spellEnd"/>
      <w:r>
        <w:rPr>
          <w:rFonts w:ascii="Helvetica" w:hAnsi="Helvetica" w:cs="Helvetica"/>
          <w:color w:val="3D494C"/>
        </w:rPr>
        <w:t xml:space="preserve">, R., &amp; Holtz, B. (2008). The diversity-validity dilemma: Strategies for reducing </w:t>
      </w:r>
      <w:proofErr w:type="spellStart"/>
      <w:r>
        <w:rPr>
          <w:rFonts w:ascii="Helvetica" w:hAnsi="Helvetica" w:cs="Helvetica"/>
          <w:color w:val="3D494C"/>
        </w:rPr>
        <w:t>racioethnic</w:t>
      </w:r>
      <w:proofErr w:type="spellEnd"/>
      <w:r>
        <w:rPr>
          <w:rFonts w:ascii="Helvetica" w:hAnsi="Helvetica" w:cs="Helvetica"/>
          <w:color w:val="3D494C"/>
        </w:rPr>
        <w:t xml:space="preserve"> and sex subgroup differences and adverse impact in selection. </w:t>
      </w:r>
      <w:r>
        <w:rPr>
          <w:rStyle w:val="Emphasis"/>
          <w:rFonts w:ascii="Helvetica" w:hAnsi="Helvetica" w:cs="Helvetica"/>
          <w:color w:val="3D494C"/>
        </w:rPr>
        <w:t>Personnel Psychology, 61</w:t>
      </w:r>
      <w:r>
        <w:rPr>
          <w:rFonts w:ascii="Helvetica" w:hAnsi="Helvetica" w:cs="Helvetica"/>
          <w:color w:val="3D494C"/>
        </w:rPr>
        <w:t>(1), 153-172.</w:t>
      </w:r>
    </w:p>
    <w:p w14:paraId="60C92E92" w14:textId="77777777" w:rsidR="00587096" w:rsidRDefault="00587096" w:rsidP="00587096">
      <w:pPr>
        <w:pStyle w:val="NormalWeb"/>
        <w:shd w:val="clear" w:color="auto" w:fill="FFFFFF"/>
        <w:spacing w:before="180" w:beforeAutospacing="0" w:after="0" w:afterAutospacing="0"/>
        <w:rPr>
          <w:rFonts w:ascii="Helvetica" w:hAnsi="Helvetica" w:cs="Helvetica"/>
          <w:color w:val="3D494C"/>
        </w:rPr>
      </w:pPr>
      <w:r>
        <w:rPr>
          <w:rStyle w:val="Emphasis"/>
          <w:rFonts w:ascii="Helvetica" w:hAnsi="Helvetica" w:cs="Helvetica"/>
          <w:color w:val="3D494C"/>
        </w:rPr>
        <w:lastRenderedPageBreak/>
        <w:t>Digital Resource:</w:t>
      </w:r>
      <w:r>
        <w:rPr>
          <w:rFonts w:ascii="Helvetica" w:hAnsi="Helvetica" w:cs="Helvetica"/>
          <w:color w:val="3D494C"/>
        </w:rPr>
        <w:t> Scott, J. C. &amp; Reynolds, D. H. (Eds.). (2010). </w:t>
      </w:r>
      <w:r>
        <w:rPr>
          <w:rStyle w:val="Emphasis"/>
          <w:rFonts w:ascii="Helvetica" w:hAnsi="Helvetica" w:cs="Helvetica"/>
          <w:color w:val="3D494C"/>
        </w:rPr>
        <w:t>Handbook of workplace assessment</w:t>
      </w:r>
      <w:r>
        <w:rPr>
          <w:rFonts w:ascii="Helvetica" w:hAnsi="Helvetica" w:cs="Helvetica"/>
          <w:color w:val="3D494C"/>
        </w:rPr>
        <w:t>. Retrieved from https://redshelf.com</w:t>
      </w:r>
    </w:p>
    <w:p w14:paraId="210C8230" w14:textId="77777777" w:rsidR="00587096" w:rsidRDefault="00587096" w:rsidP="00587096">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 xml:space="preserve">Camara, W. (1997). Use and Consequences of Assessments in the USA: Professional, Ethical and Legal Issues of the College Board, Princeton Junction NJ, USA. European Journal of Psychological Assessment. </w:t>
      </w:r>
      <w:proofErr w:type="spellStart"/>
      <w:r>
        <w:rPr>
          <w:rFonts w:ascii="Helvetica" w:hAnsi="Helvetica" w:cs="Helvetica"/>
          <w:color w:val="3D494C"/>
        </w:rPr>
        <w:t>Hogrefe</w:t>
      </w:r>
      <w:proofErr w:type="spellEnd"/>
      <w:r>
        <w:rPr>
          <w:rFonts w:ascii="Helvetica" w:hAnsi="Helvetica" w:cs="Helvetica"/>
          <w:color w:val="3D494C"/>
        </w:rPr>
        <w:t xml:space="preserve"> &amp; Huber Publisher</w:t>
      </w:r>
    </w:p>
    <w:p w14:paraId="7364F836" w14:textId="77777777" w:rsidR="00587096" w:rsidRDefault="00587096"/>
    <w:sectPr w:rsidR="00587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96"/>
    <w:rsid w:val="00587096"/>
    <w:rsid w:val="0082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C760"/>
  <w15:chartTrackingRefBased/>
  <w15:docId w15:val="{20E87DF9-C3DE-4C26-BD68-11EA522FF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709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870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14115">
      <w:bodyDiv w:val="1"/>
      <w:marLeft w:val="0"/>
      <w:marRight w:val="0"/>
      <w:marTop w:val="0"/>
      <w:marBottom w:val="0"/>
      <w:divBdr>
        <w:top w:val="none" w:sz="0" w:space="0" w:color="auto"/>
        <w:left w:val="none" w:sz="0" w:space="0" w:color="auto"/>
        <w:bottom w:val="none" w:sz="0" w:space="0" w:color="auto"/>
        <w:right w:val="none" w:sz="0" w:space="0" w:color="auto"/>
      </w:divBdr>
    </w:div>
    <w:div w:id="199618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5324</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2021-09-03T11:24:00Z</dcterms:created>
  <dcterms:modified xsi:type="dcterms:W3CDTF">2021-09-03T11:25:00Z</dcterms:modified>
</cp:coreProperties>
</file>