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CF6" w14:textId="758E767E" w:rsidR="00822469" w:rsidRDefault="000A7F36">
      <w:proofErr w:type="spellStart"/>
      <w:r>
        <w:t>Natoshia</w:t>
      </w:r>
      <w:proofErr w:type="spellEnd"/>
      <w:r>
        <w:t xml:space="preserve"> Mitchell</w:t>
      </w:r>
    </w:p>
    <w:p w14:paraId="3E2DBD38" w14:textId="77777777" w:rsidR="000A7F36" w:rsidRPr="000A7F36" w:rsidRDefault="000A7F36" w:rsidP="000A7F36">
      <w:pPr>
        <w:shd w:val="clear" w:color="auto" w:fill="FFFFFF"/>
        <w:spacing w:before="180" w:after="0" w:line="240" w:lineRule="auto"/>
        <w:jc w:val="center"/>
        <w:rPr>
          <w:rFonts w:ascii="Helvetica" w:eastAsia="Times New Roman" w:hAnsi="Helvetica" w:cs="Helvetica"/>
          <w:color w:val="3D494C"/>
          <w:sz w:val="24"/>
          <w:szCs w:val="24"/>
        </w:rPr>
      </w:pPr>
      <w:r w:rsidRPr="000A7F36">
        <w:rPr>
          <w:rFonts w:ascii="Helvetica" w:eastAsia="Times New Roman" w:hAnsi="Helvetica" w:cs="Helvetica"/>
          <w:b/>
          <w:bCs/>
          <w:color w:val="3D494C"/>
          <w:sz w:val="24"/>
          <w:szCs w:val="24"/>
        </w:rPr>
        <w:t>The Anglo-American Model of Corporate Governance</w:t>
      </w:r>
    </w:p>
    <w:p w14:paraId="7BC0E887"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b/>
          <w:bCs/>
          <w:color w:val="3D494C"/>
          <w:sz w:val="24"/>
          <w:szCs w:val="24"/>
        </w:rPr>
        <w:t> </w:t>
      </w:r>
      <w:r w:rsidRPr="000A7F36">
        <w:rPr>
          <w:rFonts w:ascii="Helvetica" w:eastAsia="Times New Roman" w:hAnsi="Helvetica" w:cs="Helvetica"/>
          <w:color w:val="3D494C"/>
          <w:sz w:val="24"/>
          <w:szCs w:val="24"/>
        </w:rPr>
        <w:t>Corporate Governance refers to the way a corporation is governed. It is the technique by which companies are directed and managed. It means carrying the business as per the stakeholders' desires. Corporate Governance clearly distinguishes between the owners and the managers (</w:t>
      </w:r>
      <w:proofErr w:type="spellStart"/>
      <w:r w:rsidRPr="000A7F36">
        <w:rPr>
          <w:rFonts w:ascii="Helvetica" w:eastAsia="Times New Roman" w:hAnsi="Helvetica" w:cs="Helvetica"/>
          <w:color w:val="3D494C"/>
          <w:sz w:val="24"/>
          <w:szCs w:val="24"/>
        </w:rPr>
        <w:t>Soeiro</w:t>
      </w:r>
      <w:proofErr w:type="spellEnd"/>
      <w:r w:rsidRPr="000A7F36">
        <w:rPr>
          <w:rFonts w:ascii="Helvetica" w:eastAsia="Times New Roman" w:hAnsi="Helvetica" w:cs="Helvetica"/>
          <w:color w:val="3D494C"/>
          <w:sz w:val="24"/>
          <w:szCs w:val="24"/>
        </w:rPr>
        <w:t>, 2020).</w:t>
      </w:r>
    </w:p>
    <w:p w14:paraId="32A5856B"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Management is not subject to strict control within the organization, the relationship between managers and shareholders (Blair, 1996). Such as medical insurance fraud, intentionally submits, or causes someone else to submit, false, or misleading information for use in determining the amount of health care benefits payable.</w:t>
      </w:r>
    </w:p>
    <w:p w14:paraId="12FC35D0"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Claiming reimbursements for the treatments and procedures that were never performed. Medicaid and Medicare can only reimburse for the procedures that are authorized. In this case, the provider can never bill for tests, treatments or procedures, which are not authorized. Both Medicare and Medicaid issue a list of authorized tests and procedures, which a patient can avail. However, by manipulating the diagnosis, healthcare providers can add procedures that were not required. Some healthcare providers offer medical treatments that were not necessary and were provided only to increase reimbursements. This is the most common type of unethical medical billing practices and is a serious violation of the healthcare act (Wilson, 2019).</w:t>
      </w:r>
    </w:p>
    <w:p w14:paraId="70A91B2A"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 xml:space="preserve">However, with up-coding and exaggerated payment claims, healthcare providers are fraudulently earning huge profits. In </w:t>
      </w:r>
      <w:proofErr w:type="gramStart"/>
      <w:r w:rsidRPr="000A7F36">
        <w:rPr>
          <w:rFonts w:ascii="Helvetica" w:eastAsia="Times New Roman" w:hAnsi="Helvetica" w:cs="Helvetica"/>
          <w:color w:val="3D494C"/>
          <w:sz w:val="24"/>
          <w:szCs w:val="24"/>
        </w:rPr>
        <w:t>general</w:t>
      </w:r>
      <w:proofErr w:type="gramEnd"/>
      <w:r w:rsidRPr="000A7F36">
        <w:rPr>
          <w:rFonts w:ascii="Helvetica" w:eastAsia="Times New Roman" w:hAnsi="Helvetica" w:cs="Helvetica"/>
          <w:color w:val="3D494C"/>
          <w:sz w:val="24"/>
          <w:szCs w:val="24"/>
        </w:rPr>
        <w:t xml:space="preserve"> medical billing, fraud refers to deliberately and knowingly manipulating medical billing claims in an attempt to deceive the payers. Some of the major unethical medical billing practice (Wilson, 2019).</w:t>
      </w:r>
    </w:p>
    <w:p w14:paraId="228419B7"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References</w:t>
      </w:r>
    </w:p>
    <w:p w14:paraId="40DB33E8"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Blair, M. M. (1996). </w:t>
      </w:r>
      <w:r w:rsidRPr="000A7F36">
        <w:rPr>
          <w:rFonts w:ascii="Helvetica" w:eastAsia="Times New Roman" w:hAnsi="Helvetica" w:cs="Helvetica"/>
          <w:i/>
          <w:iCs/>
          <w:color w:val="3D494C"/>
          <w:sz w:val="24"/>
          <w:szCs w:val="24"/>
        </w:rPr>
        <w:t>Ownership and control: Rethinking corporate governance for the twenty-first century</w:t>
      </w:r>
      <w:r w:rsidRPr="000A7F36">
        <w:rPr>
          <w:rFonts w:ascii="Helvetica" w:eastAsia="Times New Roman" w:hAnsi="Helvetica" w:cs="Helvetica"/>
          <w:color w:val="3D494C"/>
          <w:sz w:val="24"/>
          <w:szCs w:val="24"/>
        </w:rPr>
        <w:t>. Brookings Institution.</w:t>
      </w:r>
    </w:p>
    <w:p w14:paraId="34632E7D"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proofErr w:type="spellStart"/>
      <w:r w:rsidRPr="000A7F36">
        <w:rPr>
          <w:rFonts w:ascii="Helvetica" w:eastAsia="Times New Roman" w:hAnsi="Helvetica" w:cs="Helvetica"/>
          <w:color w:val="3D494C"/>
          <w:sz w:val="24"/>
          <w:szCs w:val="24"/>
        </w:rPr>
        <w:t>Soeiro</w:t>
      </w:r>
      <w:proofErr w:type="spellEnd"/>
      <w:r w:rsidRPr="000A7F36">
        <w:rPr>
          <w:rFonts w:ascii="Helvetica" w:eastAsia="Times New Roman" w:hAnsi="Helvetica" w:cs="Helvetica"/>
          <w:color w:val="3D494C"/>
          <w:sz w:val="24"/>
          <w:szCs w:val="24"/>
        </w:rPr>
        <w:t>, H. (24 May 2020). </w:t>
      </w:r>
      <w:r w:rsidRPr="000A7F36">
        <w:rPr>
          <w:rFonts w:ascii="Helvetica" w:eastAsia="Times New Roman" w:hAnsi="Helvetica" w:cs="Helvetica"/>
          <w:i/>
          <w:iCs/>
          <w:color w:val="3D494C"/>
          <w:sz w:val="24"/>
          <w:szCs w:val="24"/>
        </w:rPr>
        <w:t>What is Anglo American model of corporate governance?</w:t>
      </w:r>
      <w:r w:rsidRPr="000A7F36">
        <w:rPr>
          <w:rFonts w:ascii="Helvetica" w:eastAsia="Times New Roman" w:hAnsi="Helvetica" w:cs="Helvetica"/>
          <w:color w:val="3D494C"/>
          <w:sz w:val="24"/>
          <w:szCs w:val="24"/>
        </w:rPr>
        <w:t> Retrieve April 21, 2021, from https://askinglot.com/what-is-anglo-american-model-of-corporate-governance</w:t>
      </w:r>
    </w:p>
    <w:p w14:paraId="5BFB37C4" w14:textId="77777777" w:rsidR="000A7F36" w:rsidRPr="000A7F36" w:rsidRDefault="000A7F36" w:rsidP="000A7F36">
      <w:pPr>
        <w:shd w:val="clear" w:color="auto" w:fill="FFFFFF"/>
        <w:spacing w:before="90" w:after="0" w:line="240" w:lineRule="auto"/>
        <w:outlineLvl w:val="0"/>
        <w:rPr>
          <w:rFonts w:ascii="Helvetica" w:eastAsia="Times New Roman" w:hAnsi="Helvetica" w:cs="Helvetica"/>
          <w:color w:val="3D494C"/>
          <w:kern w:val="36"/>
          <w:sz w:val="43"/>
          <w:szCs w:val="43"/>
        </w:rPr>
      </w:pPr>
      <w:r w:rsidRPr="000A7F36">
        <w:rPr>
          <w:rFonts w:ascii="Helvetica" w:eastAsia="Times New Roman" w:hAnsi="Helvetica" w:cs="Helvetica"/>
          <w:color w:val="3D494C"/>
          <w:kern w:val="36"/>
          <w:sz w:val="24"/>
          <w:szCs w:val="24"/>
        </w:rPr>
        <w:t>Wilson, J. (19 April 2019). </w:t>
      </w:r>
      <w:r w:rsidRPr="000A7F36">
        <w:rPr>
          <w:rFonts w:ascii="Helvetica" w:eastAsia="Times New Roman" w:hAnsi="Helvetica" w:cs="Helvetica"/>
          <w:i/>
          <w:iCs/>
          <w:color w:val="3D494C"/>
          <w:kern w:val="36"/>
          <w:sz w:val="24"/>
          <w:szCs w:val="24"/>
        </w:rPr>
        <w:t>Unethical and Fraudulent Medical Billing Practices Are Costing Billions</w:t>
      </w:r>
      <w:r w:rsidRPr="000A7F36">
        <w:rPr>
          <w:rFonts w:ascii="Helvetica" w:eastAsia="Times New Roman" w:hAnsi="Helvetica" w:cs="Helvetica"/>
          <w:color w:val="3D494C"/>
          <w:kern w:val="36"/>
          <w:sz w:val="24"/>
          <w:szCs w:val="24"/>
        </w:rPr>
        <w:t>, Retrieve April 21, 2021, from https://sybridmd.com/blogs/medical-billing/unethical-and-fraudulent-medical-billing-practices-are-costing-billions/</w:t>
      </w:r>
    </w:p>
    <w:p w14:paraId="392857BF" w14:textId="77777777" w:rsidR="000A7F36" w:rsidRDefault="000A7F36" w:rsidP="000A7F36">
      <w:pPr>
        <w:spacing w:after="0" w:line="345" w:lineRule="atLeast"/>
        <w:outlineLvl w:val="1"/>
      </w:pPr>
    </w:p>
    <w:p w14:paraId="32968BA8" w14:textId="77777777" w:rsidR="000A7F36" w:rsidRDefault="000A7F36" w:rsidP="000A7F36">
      <w:pPr>
        <w:spacing w:after="0" w:line="345" w:lineRule="atLeast"/>
        <w:outlineLvl w:val="1"/>
      </w:pPr>
    </w:p>
    <w:p w14:paraId="23745A6C" w14:textId="5BBB1161" w:rsidR="000A7F36" w:rsidRPr="000A7F36" w:rsidRDefault="000A7F36" w:rsidP="000A7F36">
      <w:pPr>
        <w:spacing w:after="0" w:line="345" w:lineRule="atLeast"/>
        <w:outlineLvl w:val="1"/>
        <w:rPr>
          <w:rFonts w:ascii="Helvetica" w:eastAsia="Times New Roman" w:hAnsi="Helvetica" w:cs="Helvetica"/>
          <w:b/>
          <w:bCs/>
          <w:color w:val="AB0520"/>
          <w:sz w:val="36"/>
          <w:szCs w:val="36"/>
        </w:rPr>
      </w:pPr>
      <w:hyperlink r:id="rId4" w:tooltip="Author's name" w:history="1">
        <w:r w:rsidRPr="000A7F36">
          <w:rPr>
            <w:rFonts w:ascii="Helvetica" w:eastAsia="Times New Roman" w:hAnsi="Helvetica" w:cs="Helvetica"/>
            <w:b/>
            <w:bCs/>
            <w:color w:val="0000FF"/>
            <w:sz w:val="36"/>
            <w:szCs w:val="36"/>
            <w:u w:val="single"/>
          </w:rPr>
          <w:t>Traci Sizemore</w:t>
        </w:r>
      </w:hyperlink>
    </w:p>
    <w:p w14:paraId="4AC61E70" w14:textId="77777777" w:rsidR="000A7F36" w:rsidRDefault="000A7F36" w:rsidP="000A7F36">
      <w:pPr>
        <w:shd w:val="clear" w:color="auto" w:fill="FFFFFF"/>
        <w:spacing w:before="180" w:after="180" w:line="240" w:lineRule="auto"/>
        <w:rPr>
          <w:rFonts w:ascii="Helvetica" w:eastAsia="Times New Roman" w:hAnsi="Helvetica" w:cs="Helvetica"/>
          <w:color w:val="3D494C"/>
          <w:sz w:val="24"/>
          <w:szCs w:val="24"/>
        </w:rPr>
      </w:pPr>
    </w:p>
    <w:p w14:paraId="677BFCCA" w14:textId="793A406A" w:rsidR="000A7F36" w:rsidRPr="000A7F36" w:rsidRDefault="000A7F36" w:rsidP="000A7F36">
      <w:pPr>
        <w:shd w:val="clear" w:color="auto" w:fill="FFFFFF"/>
        <w:spacing w:before="180" w:after="18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 xml:space="preserve">The base of the Anglo-American Model is the ability for a shareholder to exercise their rights and protect all investments, the focus is on the shareholder. Corporate governance practices have been under attach due to the major failures from </w:t>
      </w:r>
      <w:r w:rsidRPr="000A7F36">
        <w:rPr>
          <w:rFonts w:ascii="Helvetica" w:eastAsia="Times New Roman" w:hAnsi="Helvetica" w:cs="Helvetica"/>
          <w:color w:val="3D494C"/>
          <w:sz w:val="24"/>
          <w:szCs w:val="24"/>
        </w:rPr>
        <w:lastRenderedPageBreak/>
        <w:t>corporations like Enron and Tyco, to name a few. Due to the disasters of all these failures Sarbanes-</w:t>
      </w:r>
      <w:proofErr w:type="spellStart"/>
      <w:r w:rsidRPr="000A7F36">
        <w:rPr>
          <w:rFonts w:ascii="Helvetica" w:eastAsia="Times New Roman" w:hAnsi="Helvetica" w:cs="Helvetica"/>
          <w:color w:val="3D494C"/>
          <w:sz w:val="24"/>
          <w:szCs w:val="24"/>
        </w:rPr>
        <w:t>Oxly</w:t>
      </w:r>
      <w:proofErr w:type="spellEnd"/>
      <w:r w:rsidRPr="000A7F36">
        <w:rPr>
          <w:rFonts w:ascii="Helvetica" w:eastAsia="Times New Roman" w:hAnsi="Helvetica" w:cs="Helvetica"/>
          <w:color w:val="3D494C"/>
          <w:sz w:val="24"/>
          <w:szCs w:val="24"/>
        </w:rPr>
        <w:t xml:space="preserve"> Act of 2002 were put in place but it did not stop Enron or the Ponzi schemes. This act was to protect consumers from Fraud, but failed to protect so many.</w:t>
      </w:r>
    </w:p>
    <w:p w14:paraId="1A9DADFF" w14:textId="77777777" w:rsidR="000A7F36" w:rsidRPr="000A7F36" w:rsidRDefault="000A7F36" w:rsidP="000A7F36">
      <w:pPr>
        <w:shd w:val="clear" w:color="auto" w:fill="FFFFFF"/>
        <w:spacing w:before="180" w:after="18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One of the biggest organizational scandals that brought froth major headlines in 2008 was that of an investment securities company owned by Bernie Madoff. Madoff was one of the top investment managers. Madoff was the mastermind behind the “Ponzi” scheme. He had as stated by The Times many large banks including HSBC and the Royal Bank of Scotland, as well as many high-profile actors (The times, 2015). Even when the stock market was not doing well it appeared as each person investments were doing well. Many felt confident with Madoff, due to him serving as Chairman of Nasdaq (The Times, 2015). It all caught up to him since he was unable to continue to pay investors’ money that wasn’t there. It is estimated that he lost over 50 Billion dollars.</w:t>
      </w:r>
    </w:p>
    <w:p w14:paraId="2E28D698" w14:textId="77777777" w:rsidR="000A7F36" w:rsidRPr="000A7F36" w:rsidRDefault="000A7F36" w:rsidP="000A7F36">
      <w:pPr>
        <w:shd w:val="clear" w:color="auto" w:fill="FFFFFF"/>
        <w:spacing w:before="180" w:after="18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 xml:space="preserve">The SEC failed to act upon tips that were given to them back in 1992. Madoff stated that they were investigating him but failed to look in the right directions. When looking at the </w:t>
      </w:r>
      <w:proofErr w:type="spellStart"/>
      <w:r w:rsidRPr="000A7F36">
        <w:rPr>
          <w:rFonts w:ascii="Helvetica" w:eastAsia="Times New Roman" w:hAnsi="Helvetica" w:cs="Helvetica"/>
          <w:color w:val="3D494C"/>
          <w:sz w:val="24"/>
          <w:szCs w:val="24"/>
        </w:rPr>
        <w:t>Ango</w:t>
      </w:r>
      <w:proofErr w:type="spellEnd"/>
      <w:r w:rsidRPr="000A7F36">
        <w:rPr>
          <w:rFonts w:ascii="Helvetica" w:eastAsia="Times New Roman" w:hAnsi="Helvetica" w:cs="Helvetica"/>
          <w:color w:val="3D494C"/>
          <w:sz w:val="24"/>
          <w:szCs w:val="24"/>
        </w:rPr>
        <w:t>-American model you can see that according to West, that utilitarian is considered since it feels that the shareholder will generate the greatest good for the greatest number and will have less of a negative impact or consequences (2016). As in this situation, the sons are the ones that provided the tips that were needed to prosecute this person. As an ethical and moral obligation as soon as this was discovered it should have been reported. This was not something that was for the greater good for the greatest amount of people. It only gave to those who took and caused a lot of harm to many.</w:t>
      </w:r>
    </w:p>
    <w:p w14:paraId="6FBD5F94" w14:textId="77777777" w:rsidR="000A7F36" w:rsidRPr="000A7F36" w:rsidRDefault="000A7F36" w:rsidP="000A7F36">
      <w:pPr>
        <w:shd w:val="clear" w:color="auto" w:fill="FFFFFF"/>
        <w:spacing w:before="180" w:after="18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 </w:t>
      </w:r>
    </w:p>
    <w:p w14:paraId="4F08B337"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Bernie Madoff; Investment manager behind a Ponzi scheme that drew in celebrities and became the largest financial fraud the world had ever seen. (2021, April 15). </w:t>
      </w:r>
      <w:r w:rsidRPr="000A7F36">
        <w:rPr>
          <w:rFonts w:ascii="Helvetica" w:eastAsia="Times New Roman" w:hAnsi="Helvetica" w:cs="Helvetica"/>
          <w:i/>
          <w:iCs/>
          <w:color w:val="3D494C"/>
          <w:sz w:val="24"/>
          <w:szCs w:val="24"/>
        </w:rPr>
        <w:t>The Times (London, England)</w:t>
      </w:r>
      <w:r w:rsidRPr="000A7F36">
        <w:rPr>
          <w:rFonts w:ascii="Helvetica" w:eastAsia="Times New Roman" w:hAnsi="Helvetica" w:cs="Helvetica"/>
          <w:color w:val="3D494C"/>
          <w:sz w:val="24"/>
          <w:szCs w:val="24"/>
        </w:rPr>
        <w:t>.</w:t>
      </w:r>
    </w:p>
    <w:p w14:paraId="1BD027F7"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Madoff miss a regulators’ case study. (2009, November 2). </w:t>
      </w:r>
      <w:r w:rsidRPr="000A7F36">
        <w:rPr>
          <w:rFonts w:ascii="Helvetica" w:eastAsia="Times New Roman" w:hAnsi="Helvetica" w:cs="Helvetica"/>
          <w:i/>
          <w:iCs/>
          <w:color w:val="3D494C"/>
          <w:sz w:val="24"/>
          <w:szCs w:val="24"/>
        </w:rPr>
        <w:t>Australasian Business Intelligence</w:t>
      </w:r>
      <w:r w:rsidRPr="000A7F36">
        <w:rPr>
          <w:rFonts w:ascii="Helvetica" w:eastAsia="Times New Roman" w:hAnsi="Helvetica" w:cs="Helvetica"/>
          <w:color w:val="3D494C"/>
          <w:sz w:val="24"/>
          <w:szCs w:val="24"/>
        </w:rPr>
        <w:t>.</w:t>
      </w:r>
    </w:p>
    <w:p w14:paraId="1B99E030"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Andrew West. (2016). Applying Metaethical and Normative Claims of Moral Relativism to (Shareholder and Stakeholder) Models of Corporate Governance. </w:t>
      </w:r>
      <w:r w:rsidRPr="000A7F36">
        <w:rPr>
          <w:rFonts w:ascii="Helvetica" w:eastAsia="Times New Roman" w:hAnsi="Helvetica" w:cs="Helvetica"/>
          <w:i/>
          <w:iCs/>
          <w:color w:val="3D494C"/>
          <w:sz w:val="24"/>
          <w:szCs w:val="24"/>
        </w:rPr>
        <w:t>Journal of Business Ethics</w:t>
      </w:r>
      <w:r w:rsidRPr="000A7F36">
        <w:rPr>
          <w:rFonts w:ascii="Helvetica" w:eastAsia="Times New Roman" w:hAnsi="Helvetica" w:cs="Helvetica"/>
          <w:color w:val="3D494C"/>
          <w:sz w:val="24"/>
          <w:szCs w:val="24"/>
        </w:rPr>
        <w:t>, </w:t>
      </w:r>
      <w:r w:rsidRPr="000A7F36">
        <w:rPr>
          <w:rFonts w:ascii="Helvetica" w:eastAsia="Times New Roman" w:hAnsi="Helvetica" w:cs="Helvetica"/>
          <w:i/>
          <w:iCs/>
          <w:color w:val="3D494C"/>
          <w:sz w:val="24"/>
          <w:szCs w:val="24"/>
        </w:rPr>
        <w:t>135</w:t>
      </w:r>
      <w:r w:rsidRPr="000A7F36">
        <w:rPr>
          <w:rFonts w:ascii="Helvetica" w:eastAsia="Times New Roman" w:hAnsi="Helvetica" w:cs="Helvetica"/>
          <w:color w:val="3D494C"/>
          <w:sz w:val="24"/>
          <w:szCs w:val="24"/>
        </w:rPr>
        <w:t>(2), 199–215.</w:t>
      </w:r>
    </w:p>
    <w:p w14:paraId="79ED568C" w14:textId="54788891" w:rsidR="000A7F36" w:rsidRDefault="000A7F36"/>
    <w:p w14:paraId="2F1C0907" w14:textId="61933007" w:rsidR="000A7F36" w:rsidRDefault="000A7F36"/>
    <w:p w14:paraId="11953A18" w14:textId="77777777" w:rsidR="000A7F36" w:rsidRPr="000A7F36" w:rsidRDefault="000A7F36" w:rsidP="000A7F36">
      <w:pPr>
        <w:spacing w:after="0" w:line="345" w:lineRule="atLeast"/>
        <w:outlineLvl w:val="1"/>
        <w:rPr>
          <w:rFonts w:ascii="Helvetica" w:eastAsia="Times New Roman" w:hAnsi="Helvetica" w:cs="Helvetica"/>
          <w:b/>
          <w:bCs/>
          <w:color w:val="AB0520"/>
          <w:sz w:val="36"/>
          <w:szCs w:val="36"/>
        </w:rPr>
      </w:pPr>
      <w:hyperlink r:id="rId5" w:tooltip="Author's name" w:history="1">
        <w:r w:rsidRPr="000A7F36">
          <w:rPr>
            <w:rFonts w:ascii="Helvetica" w:eastAsia="Times New Roman" w:hAnsi="Helvetica" w:cs="Helvetica"/>
            <w:b/>
            <w:bCs/>
            <w:color w:val="0000FF"/>
            <w:sz w:val="36"/>
            <w:szCs w:val="36"/>
            <w:u w:val="single"/>
          </w:rPr>
          <w:t>Cynthia Lavergne</w:t>
        </w:r>
      </w:hyperlink>
    </w:p>
    <w:p w14:paraId="57E53393" w14:textId="77777777" w:rsidR="000A7F36" w:rsidRDefault="000A7F36" w:rsidP="000A7F36">
      <w:pPr>
        <w:shd w:val="clear" w:color="auto" w:fill="FFFFFF"/>
        <w:spacing w:before="180" w:after="0" w:line="240" w:lineRule="auto"/>
        <w:rPr>
          <w:rFonts w:ascii="Helvetica" w:eastAsia="Times New Roman" w:hAnsi="Helvetica" w:cs="Helvetica"/>
          <w:color w:val="3D494C"/>
          <w:sz w:val="24"/>
          <w:szCs w:val="24"/>
        </w:rPr>
      </w:pPr>
    </w:p>
    <w:p w14:paraId="00DE3B3C" w14:textId="37B939A5"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 xml:space="preserve">Anglo-US Model, also known as Anglo-Saxon model: This model presents the board of directors and shareholders as the controlling parties. Anglo-US corporate governance systems have legislative controls over shareholders ability to assert practical, day to day </w:t>
      </w:r>
      <w:r w:rsidRPr="000A7F36">
        <w:rPr>
          <w:rFonts w:ascii="Helvetica" w:eastAsia="Times New Roman" w:hAnsi="Helvetica" w:cs="Helvetica"/>
          <w:color w:val="3D494C"/>
          <w:sz w:val="24"/>
          <w:szCs w:val="24"/>
        </w:rPr>
        <w:lastRenderedPageBreak/>
        <w:t xml:space="preserve">control over the company (Ross, 2020). Corporate   governance is a central and dynamic aspect of business. The term governance is derived from the Latin word </w:t>
      </w:r>
      <w:proofErr w:type="spellStart"/>
      <w:r w:rsidRPr="000A7F36">
        <w:rPr>
          <w:rFonts w:ascii="Helvetica" w:eastAsia="Times New Roman" w:hAnsi="Helvetica" w:cs="Helvetica"/>
          <w:color w:val="3D494C"/>
          <w:sz w:val="24"/>
          <w:szCs w:val="24"/>
        </w:rPr>
        <w:t>gubernare</w:t>
      </w:r>
      <w:proofErr w:type="spellEnd"/>
      <w:r w:rsidRPr="000A7F36">
        <w:rPr>
          <w:rFonts w:ascii="Helvetica" w:eastAsia="Times New Roman" w:hAnsi="Helvetica" w:cs="Helvetica"/>
          <w:color w:val="3D494C"/>
          <w:sz w:val="24"/>
          <w:szCs w:val="24"/>
        </w:rPr>
        <w:t>, meaning to steer (Dibra,2016). The case study of a major organizational scandal that headlined in the first part of the 21</w:t>
      </w:r>
      <w:r w:rsidRPr="000A7F36">
        <w:rPr>
          <w:rFonts w:ascii="Helvetica" w:eastAsia="Times New Roman" w:hAnsi="Helvetica" w:cs="Helvetica"/>
          <w:color w:val="3D494C"/>
          <w:sz w:val="18"/>
          <w:szCs w:val="18"/>
          <w:vertAlign w:val="superscript"/>
        </w:rPr>
        <w:t>st</w:t>
      </w:r>
      <w:r w:rsidRPr="000A7F36">
        <w:rPr>
          <w:rFonts w:ascii="Helvetica" w:eastAsia="Times New Roman" w:hAnsi="Helvetica" w:cs="Helvetica"/>
          <w:color w:val="3D494C"/>
          <w:sz w:val="24"/>
          <w:szCs w:val="24"/>
        </w:rPr>
        <w:t> century: Enron made major headlines in 2001.   In contrast, the UK’s “Combined Code on Corporate Governance” is a set of principles to which corporations adhere on a voluntary, comply or explain basis (</w:t>
      </w:r>
      <w:proofErr w:type="spellStart"/>
      <w:r w:rsidRPr="000A7F36">
        <w:rPr>
          <w:rFonts w:ascii="Helvetica" w:eastAsia="Times New Roman" w:hAnsi="Helvetica" w:cs="Helvetica"/>
          <w:color w:val="3D494C"/>
          <w:sz w:val="24"/>
          <w:szCs w:val="24"/>
        </w:rPr>
        <w:t>Mullineux</w:t>
      </w:r>
      <w:proofErr w:type="spellEnd"/>
      <w:r w:rsidRPr="000A7F36">
        <w:rPr>
          <w:rFonts w:ascii="Helvetica" w:eastAsia="Times New Roman" w:hAnsi="Helvetica" w:cs="Helvetica"/>
          <w:color w:val="3D494C"/>
          <w:sz w:val="24"/>
          <w:szCs w:val="24"/>
        </w:rPr>
        <w:t>, 2010). The UK focuses more on ex ante protection of ‘outside’ shareholders, whilst the US focuses on ex post protection of share traders. Enron’s complex financial statements were confusing to shareholders and analysts. The unethical practices of Enron had limits on the accounting, earnings and other information was not correct. Enron’s failure came when a rival backed out of a deal to buy Enron, and after many big trading partners stopped doing business with the company. Several corporate governance problems have emerged due to Enron’s wreckage (</w:t>
      </w:r>
      <w:proofErr w:type="spellStart"/>
      <w:r w:rsidRPr="000A7F36">
        <w:rPr>
          <w:rFonts w:ascii="Helvetica" w:eastAsia="Times New Roman" w:hAnsi="Helvetica" w:cs="Helvetica"/>
          <w:color w:val="3D494C"/>
          <w:sz w:val="24"/>
          <w:szCs w:val="24"/>
        </w:rPr>
        <w:t>Dibra</w:t>
      </w:r>
      <w:proofErr w:type="spellEnd"/>
      <w:r w:rsidRPr="000A7F36">
        <w:rPr>
          <w:rFonts w:ascii="Helvetica" w:eastAsia="Times New Roman" w:hAnsi="Helvetica" w:cs="Helvetica"/>
          <w:color w:val="3D494C"/>
          <w:sz w:val="24"/>
          <w:szCs w:val="24"/>
        </w:rPr>
        <w:t>, 2016). Enron was unethical because they used fake profit, worked the books to make them look as they had made more money than they really had. If I were put into a leadership role at Enron, I sure would have tried to prevent the fraud      that was committed. Since it is clear Enron’s board of directors lacked moral character. Someone should have taken control, using their morals. </w:t>
      </w:r>
    </w:p>
    <w:p w14:paraId="68931A80"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proofErr w:type="spellStart"/>
      <w:r w:rsidRPr="000A7F36">
        <w:rPr>
          <w:rFonts w:ascii="Helvetica" w:eastAsia="Times New Roman" w:hAnsi="Helvetica" w:cs="Helvetica"/>
          <w:color w:val="3D494C"/>
          <w:sz w:val="24"/>
          <w:szCs w:val="24"/>
        </w:rPr>
        <w:t>Dibra</w:t>
      </w:r>
      <w:proofErr w:type="spellEnd"/>
      <w:r w:rsidRPr="000A7F36">
        <w:rPr>
          <w:rFonts w:ascii="Helvetica" w:eastAsia="Times New Roman" w:hAnsi="Helvetica" w:cs="Helvetica"/>
          <w:color w:val="3D494C"/>
          <w:sz w:val="24"/>
          <w:szCs w:val="24"/>
        </w:rPr>
        <w:t>, R. (2016) Corporate governance failure: The case of Enron and Parmalat.</w:t>
      </w:r>
      <w:r w:rsidRPr="000A7F36">
        <w:rPr>
          <w:rFonts w:ascii="Helvetica" w:eastAsia="Times New Roman" w:hAnsi="Helvetica" w:cs="Helvetica"/>
          <w:i/>
          <w:iCs/>
          <w:color w:val="3D494C"/>
          <w:sz w:val="24"/>
          <w:szCs w:val="24"/>
        </w:rPr>
        <w:t> European Scientific Journal.</w:t>
      </w:r>
      <w:r w:rsidRPr="000A7F36">
        <w:rPr>
          <w:rFonts w:ascii="Helvetica" w:eastAsia="Times New Roman" w:hAnsi="Helvetica" w:cs="Helvetica"/>
          <w:color w:val="3D494C"/>
          <w:sz w:val="24"/>
          <w:szCs w:val="24"/>
        </w:rPr>
        <w:t>  (12)  16 doi10.19044esj. 2016.v12n16p283</w:t>
      </w:r>
    </w:p>
    <w:p w14:paraId="6E6C990F" w14:textId="77777777" w:rsidR="000A7F36" w:rsidRPr="000A7F36" w:rsidRDefault="000A7F36" w:rsidP="000A7F36">
      <w:pPr>
        <w:shd w:val="clear" w:color="auto" w:fill="FFFFFF"/>
        <w:spacing w:before="180" w:after="0" w:line="240" w:lineRule="auto"/>
        <w:rPr>
          <w:rFonts w:ascii="Helvetica" w:eastAsia="Times New Roman" w:hAnsi="Helvetica" w:cs="Helvetica"/>
          <w:color w:val="3D494C"/>
          <w:sz w:val="24"/>
          <w:szCs w:val="24"/>
        </w:rPr>
      </w:pPr>
      <w:proofErr w:type="spellStart"/>
      <w:r w:rsidRPr="000A7F36">
        <w:rPr>
          <w:rFonts w:ascii="Helvetica" w:eastAsia="Times New Roman" w:hAnsi="Helvetica" w:cs="Helvetica"/>
          <w:color w:val="3D494C"/>
          <w:sz w:val="24"/>
          <w:szCs w:val="24"/>
        </w:rPr>
        <w:t>Mullineux</w:t>
      </w:r>
      <w:proofErr w:type="spellEnd"/>
      <w:r w:rsidRPr="000A7F36">
        <w:rPr>
          <w:rFonts w:ascii="Helvetica" w:eastAsia="Times New Roman" w:hAnsi="Helvetica" w:cs="Helvetica"/>
          <w:color w:val="3D494C"/>
          <w:sz w:val="24"/>
          <w:szCs w:val="24"/>
        </w:rPr>
        <w:t>, A. (2010) Is there an Anglo-American corporate governance model. </w:t>
      </w:r>
      <w:r w:rsidRPr="000A7F36">
        <w:rPr>
          <w:rFonts w:ascii="Helvetica" w:eastAsia="Times New Roman" w:hAnsi="Helvetica" w:cs="Helvetica"/>
          <w:i/>
          <w:iCs/>
          <w:color w:val="3D494C"/>
          <w:sz w:val="24"/>
          <w:szCs w:val="24"/>
        </w:rPr>
        <w:t> International Economics &amp; Economic Policy. </w:t>
      </w:r>
      <w:r w:rsidRPr="000A7F36">
        <w:rPr>
          <w:rFonts w:ascii="Helvetica" w:eastAsia="Times New Roman" w:hAnsi="Helvetica" w:cs="Helvetica"/>
          <w:color w:val="3D494C"/>
          <w:sz w:val="24"/>
          <w:szCs w:val="24"/>
        </w:rPr>
        <w:t xml:space="preserve"> (2010)7 437-448 </w:t>
      </w:r>
      <w:proofErr w:type="spellStart"/>
      <w:r w:rsidRPr="000A7F36">
        <w:rPr>
          <w:rFonts w:ascii="Helvetica" w:eastAsia="Times New Roman" w:hAnsi="Helvetica" w:cs="Helvetica"/>
          <w:color w:val="3D494C"/>
          <w:sz w:val="24"/>
          <w:szCs w:val="24"/>
        </w:rPr>
        <w:t>doi</w:t>
      </w:r>
      <w:proofErr w:type="spellEnd"/>
      <w:r w:rsidRPr="000A7F36">
        <w:rPr>
          <w:rFonts w:ascii="Helvetica" w:eastAsia="Times New Roman" w:hAnsi="Helvetica" w:cs="Helvetica"/>
          <w:color w:val="3D494C"/>
          <w:sz w:val="24"/>
          <w:szCs w:val="24"/>
        </w:rPr>
        <w:t xml:space="preserve"> 10.1007/s10368-010-0151-2</w:t>
      </w:r>
    </w:p>
    <w:p w14:paraId="5738C3B7" w14:textId="77777777" w:rsidR="000A7F36" w:rsidRPr="000A7F36" w:rsidRDefault="000A7F36" w:rsidP="000A7F36">
      <w:pPr>
        <w:shd w:val="clear" w:color="auto" w:fill="FFFFFF"/>
        <w:spacing w:before="180" w:after="180" w:line="240" w:lineRule="auto"/>
        <w:rPr>
          <w:rFonts w:ascii="Helvetica" w:eastAsia="Times New Roman" w:hAnsi="Helvetica" w:cs="Helvetica"/>
          <w:color w:val="3D494C"/>
          <w:sz w:val="24"/>
          <w:szCs w:val="24"/>
        </w:rPr>
      </w:pPr>
      <w:r w:rsidRPr="000A7F36">
        <w:rPr>
          <w:rFonts w:ascii="Helvetica" w:eastAsia="Times New Roman" w:hAnsi="Helvetica" w:cs="Helvetica"/>
          <w:color w:val="3D494C"/>
          <w:sz w:val="24"/>
          <w:szCs w:val="24"/>
        </w:rPr>
        <w:t> Ross, S. (2020) What are some examples of different corporate governance systems www.investopedia.com</w:t>
      </w:r>
    </w:p>
    <w:p w14:paraId="66A65841" w14:textId="77777777" w:rsidR="000A7F36" w:rsidRDefault="000A7F36"/>
    <w:sectPr w:rsidR="000A7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36"/>
    <w:rsid w:val="000A7F36"/>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CBD8"/>
  <w15:chartTrackingRefBased/>
  <w15:docId w15:val="{85544012-4FDA-46BF-8A53-9C68B356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792944">
      <w:bodyDiv w:val="1"/>
      <w:marLeft w:val="0"/>
      <w:marRight w:val="0"/>
      <w:marTop w:val="0"/>
      <w:marBottom w:val="0"/>
      <w:divBdr>
        <w:top w:val="none" w:sz="0" w:space="0" w:color="auto"/>
        <w:left w:val="none" w:sz="0" w:space="0" w:color="auto"/>
        <w:bottom w:val="none" w:sz="0" w:space="0" w:color="auto"/>
        <w:right w:val="none" w:sz="0" w:space="0" w:color="auto"/>
      </w:divBdr>
    </w:div>
    <w:div w:id="1907912511">
      <w:bodyDiv w:val="1"/>
      <w:marLeft w:val="0"/>
      <w:marRight w:val="0"/>
      <w:marTop w:val="0"/>
      <w:marBottom w:val="0"/>
      <w:divBdr>
        <w:top w:val="none" w:sz="0" w:space="0" w:color="auto"/>
        <w:left w:val="none" w:sz="0" w:space="0" w:color="auto"/>
        <w:bottom w:val="none" w:sz="0" w:space="0" w:color="auto"/>
        <w:right w:val="none" w:sz="0" w:space="0" w:color="auto"/>
      </w:divBdr>
      <w:divsChild>
        <w:div w:id="286544651">
          <w:marLeft w:val="0"/>
          <w:marRight w:val="0"/>
          <w:marTop w:val="0"/>
          <w:marBottom w:val="0"/>
          <w:divBdr>
            <w:top w:val="none" w:sz="0" w:space="0" w:color="auto"/>
            <w:left w:val="none" w:sz="0" w:space="0" w:color="auto"/>
            <w:bottom w:val="none" w:sz="0" w:space="0" w:color="auto"/>
            <w:right w:val="none" w:sz="0" w:space="0" w:color="auto"/>
          </w:divBdr>
          <w:divsChild>
            <w:div w:id="618533104">
              <w:marLeft w:val="0"/>
              <w:marRight w:val="0"/>
              <w:marTop w:val="0"/>
              <w:marBottom w:val="0"/>
              <w:divBdr>
                <w:top w:val="none" w:sz="0" w:space="0" w:color="auto"/>
                <w:left w:val="none" w:sz="0" w:space="0" w:color="auto"/>
                <w:bottom w:val="none" w:sz="0" w:space="0" w:color="auto"/>
                <w:right w:val="none" w:sz="0" w:space="0" w:color="auto"/>
              </w:divBdr>
              <w:divsChild>
                <w:div w:id="501362001">
                  <w:marLeft w:val="0"/>
                  <w:marRight w:val="0"/>
                  <w:marTop w:val="0"/>
                  <w:marBottom w:val="0"/>
                  <w:divBdr>
                    <w:top w:val="none" w:sz="0" w:space="0" w:color="auto"/>
                    <w:left w:val="none" w:sz="0" w:space="0" w:color="auto"/>
                    <w:bottom w:val="none" w:sz="0" w:space="0" w:color="auto"/>
                    <w:right w:val="none" w:sz="0" w:space="0" w:color="auto"/>
                  </w:divBdr>
                </w:div>
              </w:divsChild>
            </w:div>
            <w:div w:id="1140071333">
              <w:marLeft w:val="0"/>
              <w:marRight w:val="0"/>
              <w:marTop w:val="0"/>
              <w:marBottom w:val="0"/>
              <w:divBdr>
                <w:top w:val="none" w:sz="0" w:space="0" w:color="auto"/>
                <w:left w:val="none" w:sz="0" w:space="0" w:color="auto"/>
                <w:bottom w:val="none" w:sz="0" w:space="0" w:color="auto"/>
                <w:right w:val="none" w:sz="0" w:space="0" w:color="auto"/>
              </w:divBdr>
            </w:div>
          </w:divsChild>
        </w:div>
        <w:div w:id="2054189827">
          <w:marLeft w:val="0"/>
          <w:marRight w:val="0"/>
          <w:marTop w:val="0"/>
          <w:marBottom w:val="0"/>
          <w:divBdr>
            <w:top w:val="none" w:sz="0" w:space="0" w:color="auto"/>
            <w:left w:val="none" w:sz="0" w:space="0" w:color="auto"/>
            <w:bottom w:val="none" w:sz="0" w:space="0" w:color="auto"/>
            <w:right w:val="none" w:sz="0" w:space="0" w:color="auto"/>
          </w:divBdr>
        </w:div>
      </w:divsChild>
    </w:div>
    <w:div w:id="1933201594">
      <w:bodyDiv w:val="1"/>
      <w:marLeft w:val="0"/>
      <w:marRight w:val="0"/>
      <w:marTop w:val="0"/>
      <w:marBottom w:val="0"/>
      <w:divBdr>
        <w:top w:val="none" w:sz="0" w:space="0" w:color="auto"/>
        <w:left w:val="none" w:sz="0" w:space="0" w:color="auto"/>
        <w:bottom w:val="none" w:sz="0" w:space="0" w:color="auto"/>
        <w:right w:val="none" w:sz="0" w:space="0" w:color="auto"/>
      </w:divBdr>
      <w:divsChild>
        <w:div w:id="1288850666">
          <w:marLeft w:val="0"/>
          <w:marRight w:val="0"/>
          <w:marTop w:val="0"/>
          <w:marBottom w:val="0"/>
          <w:divBdr>
            <w:top w:val="none" w:sz="0" w:space="0" w:color="auto"/>
            <w:left w:val="none" w:sz="0" w:space="0" w:color="auto"/>
            <w:bottom w:val="none" w:sz="0" w:space="0" w:color="auto"/>
            <w:right w:val="none" w:sz="0" w:space="0" w:color="auto"/>
          </w:divBdr>
          <w:divsChild>
            <w:div w:id="1276518918">
              <w:marLeft w:val="0"/>
              <w:marRight w:val="0"/>
              <w:marTop w:val="0"/>
              <w:marBottom w:val="0"/>
              <w:divBdr>
                <w:top w:val="none" w:sz="0" w:space="0" w:color="auto"/>
                <w:left w:val="none" w:sz="0" w:space="0" w:color="auto"/>
                <w:bottom w:val="none" w:sz="0" w:space="0" w:color="auto"/>
                <w:right w:val="none" w:sz="0" w:space="0" w:color="auto"/>
              </w:divBdr>
              <w:divsChild>
                <w:div w:id="2141729013">
                  <w:marLeft w:val="0"/>
                  <w:marRight w:val="0"/>
                  <w:marTop w:val="0"/>
                  <w:marBottom w:val="0"/>
                  <w:divBdr>
                    <w:top w:val="none" w:sz="0" w:space="0" w:color="auto"/>
                    <w:left w:val="none" w:sz="0" w:space="0" w:color="auto"/>
                    <w:bottom w:val="none" w:sz="0" w:space="0" w:color="auto"/>
                    <w:right w:val="none" w:sz="0" w:space="0" w:color="auto"/>
                  </w:divBdr>
                </w:div>
              </w:divsChild>
            </w:div>
            <w:div w:id="1281567539">
              <w:marLeft w:val="0"/>
              <w:marRight w:val="0"/>
              <w:marTop w:val="0"/>
              <w:marBottom w:val="0"/>
              <w:divBdr>
                <w:top w:val="none" w:sz="0" w:space="0" w:color="auto"/>
                <w:left w:val="none" w:sz="0" w:space="0" w:color="auto"/>
                <w:bottom w:val="none" w:sz="0" w:space="0" w:color="auto"/>
                <w:right w:val="none" w:sz="0" w:space="0" w:color="auto"/>
              </w:divBdr>
            </w:div>
          </w:divsChild>
        </w:div>
        <w:div w:id="1149056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hford.instructure.com/courses/82410/users/15919" TargetMode="External"/><Relationship Id="rId4" Type="http://schemas.openxmlformats.org/officeDocument/2006/relationships/hyperlink" Target="https://ashford.instructure.com/courses/82410/users/6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2021-04-23T17:28:00Z</dcterms:created>
  <dcterms:modified xsi:type="dcterms:W3CDTF">2021-04-23T17:30:00Z</dcterms:modified>
</cp:coreProperties>
</file>