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153619">
      <w:pPr>
        <w:spacing w:line="480" w:lineRule="auto"/>
        <w:jc w:val="center"/>
        <w:rPr>
          <w:rFonts w:ascii="Times New Roman" w:hAnsi="Times New Roman" w:cs="Times New Roman"/>
          <w:sz w:val="24"/>
          <w:szCs w:val="24"/>
        </w:rPr>
      </w:pPr>
      <w:r w:rsidRPr="009667DD">
        <w:rPr>
          <w:rFonts w:ascii="Times New Roman" w:hAnsi="Times New Roman" w:cs="Times New Roman"/>
          <w:sz w:val="24"/>
          <w:szCs w:val="24"/>
        </w:rPr>
        <w:t>Why Women and Structure of Witch Hunt</w:t>
      </w:r>
    </w:p>
    <w:p w:rsidR="00766578" w:rsidRPr="009667DD" w:rsidRDefault="00766578" w:rsidP="00153619">
      <w:pPr>
        <w:spacing w:line="480" w:lineRule="auto"/>
        <w:jc w:val="center"/>
        <w:rPr>
          <w:rFonts w:ascii="Times New Roman" w:hAnsi="Times New Roman" w:cs="Times New Roman"/>
          <w:sz w:val="24"/>
          <w:szCs w:val="24"/>
        </w:rPr>
      </w:pPr>
      <w:r w:rsidRPr="009667DD">
        <w:rPr>
          <w:rFonts w:ascii="Times New Roman" w:hAnsi="Times New Roman" w:cs="Times New Roman"/>
          <w:sz w:val="24"/>
          <w:szCs w:val="24"/>
        </w:rPr>
        <w:t>Student’s Name:</w:t>
      </w:r>
    </w:p>
    <w:p w:rsidR="00766578" w:rsidRPr="009667DD" w:rsidRDefault="00766578" w:rsidP="00153619">
      <w:pPr>
        <w:spacing w:line="480" w:lineRule="auto"/>
        <w:jc w:val="center"/>
        <w:rPr>
          <w:rFonts w:ascii="Times New Roman" w:hAnsi="Times New Roman" w:cs="Times New Roman"/>
          <w:sz w:val="24"/>
          <w:szCs w:val="24"/>
        </w:rPr>
      </w:pPr>
      <w:r w:rsidRPr="009667DD">
        <w:rPr>
          <w:rFonts w:ascii="Times New Roman" w:hAnsi="Times New Roman" w:cs="Times New Roman"/>
          <w:sz w:val="24"/>
          <w:szCs w:val="24"/>
        </w:rPr>
        <w:t>Institutional Affiliation:</w:t>
      </w:r>
    </w:p>
    <w:p w:rsidR="00766578" w:rsidRPr="009667DD" w:rsidRDefault="00766578" w:rsidP="00153619">
      <w:pPr>
        <w:spacing w:line="480" w:lineRule="auto"/>
        <w:jc w:val="center"/>
        <w:rPr>
          <w:rFonts w:ascii="Times New Roman" w:hAnsi="Times New Roman" w:cs="Times New Roman"/>
          <w:sz w:val="24"/>
          <w:szCs w:val="24"/>
        </w:rPr>
      </w:pPr>
      <w:r w:rsidRPr="009667DD">
        <w:rPr>
          <w:rFonts w:ascii="Times New Roman" w:hAnsi="Times New Roman" w:cs="Times New Roman"/>
          <w:sz w:val="24"/>
          <w:szCs w:val="24"/>
        </w:rPr>
        <w:t>Date:</w:t>
      </w:r>
    </w:p>
    <w:p w:rsidR="00766578" w:rsidRPr="009667DD" w:rsidRDefault="00766578" w:rsidP="009667DD">
      <w:pPr>
        <w:spacing w:line="480" w:lineRule="auto"/>
        <w:jc w:val="both"/>
        <w:rPr>
          <w:rFonts w:ascii="Times New Roman" w:hAnsi="Times New Roman" w:cs="Times New Roman"/>
          <w:sz w:val="24"/>
          <w:szCs w:val="24"/>
        </w:rPr>
      </w:pPr>
      <w:r w:rsidRPr="009667DD">
        <w:rPr>
          <w:rFonts w:ascii="Times New Roman" w:hAnsi="Times New Roman" w:cs="Times New Roman"/>
          <w:sz w:val="24"/>
          <w:szCs w:val="24"/>
        </w:rPr>
        <w:t> </w:t>
      </w: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lastRenderedPageBreak/>
        <w:t xml:space="preserve">The book </w:t>
      </w:r>
      <w:proofErr w:type="spellStart"/>
      <w:r w:rsidRPr="009667DD">
        <w:rPr>
          <w:rFonts w:ascii="Times New Roman" w:hAnsi="Times New Roman" w:cs="Times New Roman"/>
          <w:sz w:val="24"/>
          <w:szCs w:val="24"/>
        </w:rPr>
        <w:t>Witchcraze</w:t>
      </w:r>
      <w:proofErr w:type="spellEnd"/>
      <w:r w:rsidRPr="009667DD">
        <w:rPr>
          <w:rFonts w:ascii="Times New Roman" w:hAnsi="Times New Roman" w:cs="Times New Roman"/>
          <w:sz w:val="24"/>
          <w:szCs w:val="24"/>
        </w:rPr>
        <w:t xml:space="preserve"> by Barstow is documented that gives a detailed history of how women were treated in Europe between the 10th to the 18th century. During this period, European societies were mostly patriarchal in nature. Men occupied all significant position in the legal, religious and economic sector. Christianity was the dominant religion during these decades. The society was very discriminative in Europe towards women. Christianity perceived a threat from another wave of divine source. This was the magic from witches and the sorcerers in the society. These two were considered to have harmful magic towards other people, and as a result, there were public interventions through the legal authorities and the religious bodies against witchcraft (Bailey, 2016). Women were considered as the perpetrators of the work of the devil through sorcery. Therefore, being a woman was a risk factor for being considered a witch in Europe during those times. As a result, women were punished due to their association with devilish activities which ideally were not wholly accurate.</w:t>
      </w: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t>The forms of punishment towards the women in European societies were not proportional to the allegations against them. They were brutal and sexual violence in nature. Some accusation attracted death penalty and women were killed through public execution after a long period of inhumane torture. Several factors predisposed women to be accused of witchcraft. One is their role in society. Marital status and age were the leading factors. Skills also such as midwifery that some women had also led to them being accused of having devilish powers due to the outcomes of their work. Some midwives had been response for tens of newborn deaths including maternal death (</w:t>
      </w:r>
      <w:proofErr w:type="spellStart"/>
      <w:r w:rsidRPr="009667DD">
        <w:rPr>
          <w:rFonts w:ascii="Times New Roman" w:hAnsi="Times New Roman" w:cs="Times New Roman"/>
          <w:sz w:val="24"/>
          <w:szCs w:val="24"/>
        </w:rPr>
        <w:t>Kapitaniak</w:t>
      </w:r>
      <w:proofErr w:type="spellEnd"/>
      <w:r w:rsidRPr="009667DD">
        <w:rPr>
          <w:rFonts w:ascii="Times New Roman" w:hAnsi="Times New Roman" w:cs="Times New Roman"/>
          <w:sz w:val="24"/>
          <w:szCs w:val="24"/>
        </w:rPr>
        <w:t xml:space="preserve">, 2017). Besides having creative skills, the midwives also had powers to heal individuals with minor conditions in society. This was considered a threat by the Christians who believed that no human had powers to treat a fellow human being. Their ability to heal illness was perceived to be the same power that can kill. Therefore, as much as women were useful members </w:t>
      </w:r>
      <w:r w:rsidRPr="009667DD">
        <w:rPr>
          <w:rFonts w:ascii="Times New Roman" w:hAnsi="Times New Roman" w:cs="Times New Roman"/>
          <w:sz w:val="24"/>
          <w:szCs w:val="24"/>
        </w:rPr>
        <w:lastRenderedPageBreak/>
        <w:t xml:space="preserve">of the society, they were also made scapegoats for the misfortunes that befall the community (Van </w:t>
      </w:r>
      <w:proofErr w:type="spellStart"/>
      <w:r w:rsidRPr="009667DD">
        <w:rPr>
          <w:rFonts w:ascii="Times New Roman" w:hAnsi="Times New Roman" w:cs="Times New Roman"/>
          <w:sz w:val="24"/>
          <w:szCs w:val="24"/>
        </w:rPr>
        <w:t>Houts</w:t>
      </w:r>
      <w:proofErr w:type="spellEnd"/>
      <w:r w:rsidRPr="009667DD">
        <w:rPr>
          <w:rFonts w:ascii="Times New Roman" w:hAnsi="Times New Roman" w:cs="Times New Roman"/>
          <w:sz w:val="24"/>
          <w:szCs w:val="24"/>
        </w:rPr>
        <w:t>, 2015).</w:t>
      </w: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t xml:space="preserve">The brutal treatment against women was ordered and implemented by the male members of society. Women were subjected to inhumane treatment to extract a confession to be used in their judgment.  Judges could order striping and burning or piercing of women bodies to make them confess for their mistakes. One of the leading accusations towards women and witchcraft was sexual misconduct. Women were considered sexually insatiable and therefore opted for evil intervention to accomplish this. As a result, a woman’s sexual part was associated with the devil. Hence, torture was sexual violence in nature in a bid to eliminate evil from their bodies (Van </w:t>
      </w:r>
      <w:proofErr w:type="spellStart"/>
      <w:r w:rsidRPr="009667DD">
        <w:rPr>
          <w:rFonts w:ascii="Times New Roman" w:hAnsi="Times New Roman" w:cs="Times New Roman"/>
          <w:sz w:val="24"/>
          <w:szCs w:val="24"/>
        </w:rPr>
        <w:t>Houts</w:t>
      </w:r>
      <w:proofErr w:type="spellEnd"/>
      <w:r w:rsidRPr="009667DD">
        <w:rPr>
          <w:rFonts w:ascii="Times New Roman" w:hAnsi="Times New Roman" w:cs="Times New Roman"/>
          <w:sz w:val="24"/>
          <w:szCs w:val="24"/>
        </w:rPr>
        <w:t>, 2015).</w:t>
      </w: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t>The process of a witch hunt against women had a specific structure that could result in one person being found guilty of being a witch in the society. One of the compositions of witch hunt was the economic and social gains that an accuser benefited from the accusations. Some people could accuse others with a motive of inheriting their property once the accused is found guilty and punished by death. Also, some people could charge women of tarnishing their names or made them banished from social activities in the community due to jealousy and or competition (</w:t>
      </w:r>
      <w:proofErr w:type="spellStart"/>
      <w:r w:rsidRPr="009667DD">
        <w:rPr>
          <w:rFonts w:ascii="Times New Roman" w:hAnsi="Times New Roman" w:cs="Times New Roman"/>
          <w:sz w:val="24"/>
          <w:szCs w:val="24"/>
        </w:rPr>
        <w:t>Kapitaniak</w:t>
      </w:r>
      <w:proofErr w:type="spellEnd"/>
      <w:r w:rsidRPr="009667DD">
        <w:rPr>
          <w:rFonts w:ascii="Times New Roman" w:hAnsi="Times New Roman" w:cs="Times New Roman"/>
          <w:sz w:val="24"/>
          <w:szCs w:val="24"/>
        </w:rPr>
        <w:t>, 2017).</w:t>
      </w: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t>The legal system also was part of the witch hunt structure in European society. Judges and magistrates were interested in the restoration of peace and order in the community through the elimination of the offenders. As a result, they believed in the existence of witchcraft and therefore did all they could to ensure that this vice does not cause disorder in the society. To achieve this goal, the legal system permitted women to be tortured for them to confess (</w:t>
      </w:r>
      <w:proofErr w:type="spellStart"/>
      <w:r w:rsidRPr="009667DD">
        <w:rPr>
          <w:rFonts w:ascii="Times New Roman" w:hAnsi="Times New Roman" w:cs="Times New Roman"/>
          <w:sz w:val="24"/>
          <w:szCs w:val="24"/>
        </w:rPr>
        <w:t>Kapitaniak</w:t>
      </w:r>
      <w:proofErr w:type="spellEnd"/>
      <w:r w:rsidRPr="009667DD">
        <w:rPr>
          <w:rFonts w:ascii="Times New Roman" w:hAnsi="Times New Roman" w:cs="Times New Roman"/>
          <w:sz w:val="24"/>
          <w:szCs w:val="24"/>
        </w:rPr>
        <w:t xml:space="preserve">, 2017).  This in itself demonstrates how biased the system was during that time. But with changing times, </w:t>
      </w:r>
      <w:r w:rsidRPr="009667DD">
        <w:rPr>
          <w:rFonts w:ascii="Times New Roman" w:hAnsi="Times New Roman" w:cs="Times New Roman"/>
          <w:sz w:val="24"/>
          <w:szCs w:val="24"/>
        </w:rPr>
        <w:lastRenderedPageBreak/>
        <w:t xml:space="preserve">the legal system was changed whereby even the accused women were accorded better treatment after being found guilty. </w:t>
      </w:r>
    </w:p>
    <w:p w:rsidR="00766578" w:rsidRPr="009667DD" w:rsidRDefault="00766578" w:rsidP="00153619">
      <w:pPr>
        <w:spacing w:line="480" w:lineRule="auto"/>
        <w:ind w:firstLine="720"/>
        <w:jc w:val="both"/>
        <w:rPr>
          <w:rFonts w:ascii="Times New Roman" w:hAnsi="Times New Roman" w:cs="Times New Roman"/>
          <w:sz w:val="24"/>
          <w:szCs w:val="24"/>
        </w:rPr>
      </w:pPr>
      <w:r w:rsidRPr="009667DD">
        <w:rPr>
          <w:rFonts w:ascii="Times New Roman" w:hAnsi="Times New Roman" w:cs="Times New Roman"/>
          <w:sz w:val="24"/>
          <w:szCs w:val="24"/>
        </w:rPr>
        <w:t>From my perspective, the sexual violence, stereotyping and discrimination against women in the European societies originated from the gender roles and the structural leadership of the community. The life of the people was determined by religious and legal systems which were headed by male officials. Women who had independence both economically and socially were considered a threat to the male population. This is because traditional healers and midwives had better living standards than even the males. To silence them, they were accused of witchcraft and other evil activities in the society which strongly prohibited by the church. Therefore, the church through the legal systems and community systems introduced torture of these women to counter their influence on the members of the society.</w:t>
      </w:r>
    </w:p>
    <w:p w:rsidR="009667DD" w:rsidRDefault="009667DD">
      <w:pPr>
        <w:rPr>
          <w:rFonts w:ascii="Times New Roman" w:hAnsi="Times New Roman" w:cs="Times New Roman"/>
          <w:sz w:val="24"/>
          <w:szCs w:val="24"/>
        </w:rPr>
      </w:pPr>
      <w:r>
        <w:rPr>
          <w:rFonts w:ascii="Times New Roman" w:hAnsi="Times New Roman" w:cs="Times New Roman"/>
          <w:sz w:val="24"/>
          <w:szCs w:val="24"/>
        </w:rPr>
        <w:br w:type="page"/>
      </w:r>
    </w:p>
    <w:p w:rsidR="00766578" w:rsidRPr="009667DD" w:rsidRDefault="009667DD" w:rsidP="00153619">
      <w:pPr>
        <w:spacing w:line="480" w:lineRule="auto"/>
        <w:jc w:val="center"/>
        <w:rPr>
          <w:rFonts w:ascii="Times New Roman" w:hAnsi="Times New Roman" w:cs="Times New Roman"/>
          <w:sz w:val="24"/>
          <w:szCs w:val="24"/>
        </w:rPr>
      </w:pPr>
      <w:r w:rsidRPr="009667DD">
        <w:rPr>
          <w:rFonts w:ascii="Times New Roman" w:hAnsi="Times New Roman" w:cs="Times New Roman"/>
          <w:sz w:val="24"/>
          <w:szCs w:val="24"/>
        </w:rPr>
        <w:lastRenderedPageBreak/>
        <w:t>R</w:t>
      </w:r>
      <w:r w:rsidR="00766578" w:rsidRPr="009667DD">
        <w:rPr>
          <w:rFonts w:ascii="Times New Roman" w:hAnsi="Times New Roman" w:cs="Times New Roman"/>
          <w:sz w:val="24"/>
          <w:szCs w:val="24"/>
        </w:rPr>
        <w:t>eferences</w:t>
      </w:r>
    </w:p>
    <w:p w:rsidR="008E04FD" w:rsidRPr="009667DD" w:rsidRDefault="008E04FD" w:rsidP="008E04FD">
      <w:pPr>
        <w:spacing w:line="480" w:lineRule="auto"/>
        <w:ind w:left="720" w:hanging="720"/>
        <w:jc w:val="both"/>
        <w:rPr>
          <w:rFonts w:ascii="Times New Roman" w:hAnsi="Times New Roman" w:cs="Times New Roman"/>
          <w:sz w:val="24"/>
          <w:szCs w:val="24"/>
        </w:rPr>
      </w:pPr>
      <w:r w:rsidRPr="009667DD">
        <w:rPr>
          <w:rFonts w:ascii="Times New Roman" w:hAnsi="Times New Roman" w:cs="Times New Roman"/>
          <w:sz w:val="24"/>
          <w:szCs w:val="24"/>
        </w:rPr>
        <w:t xml:space="preserve">Bailey, M. D. (2016). A History of Science, Magic, and Belief: From Medieval to Early Modern Europe by Steven P. </w:t>
      </w:r>
      <w:proofErr w:type="spellStart"/>
      <w:r w:rsidRPr="009667DD">
        <w:rPr>
          <w:rFonts w:ascii="Times New Roman" w:hAnsi="Times New Roman" w:cs="Times New Roman"/>
          <w:sz w:val="24"/>
          <w:szCs w:val="24"/>
        </w:rPr>
        <w:t>Marrone</w:t>
      </w:r>
      <w:proofErr w:type="spellEnd"/>
      <w:r w:rsidRPr="009667DD">
        <w:rPr>
          <w:rFonts w:ascii="Times New Roman" w:hAnsi="Times New Roman" w:cs="Times New Roman"/>
          <w:sz w:val="24"/>
          <w:szCs w:val="24"/>
        </w:rPr>
        <w:t>. T</w:t>
      </w:r>
      <w:r w:rsidRPr="009667DD">
        <w:rPr>
          <w:rFonts w:ascii="Times New Roman" w:hAnsi="Times New Roman" w:cs="Times New Roman"/>
          <w:i/>
          <w:sz w:val="24"/>
          <w:szCs w:val="24"/>
        </w:rPr>
        <w:t xml:space="preserve">he Catholic Historical Review, </w:t>
      </w:r>
      <w:r w:rsidRPr="009667DD">
        <w:rPr>
          <w:rFonts w:ascii="Times New Roman" w:hAnsi="Times New Roman" w:cs="Times New Roman"/>
          <w:sz w:val="24"/>
          <w:szCs w:val="24"/>
        </w:rPr>
        <w:t>102(2), 372-373.</w:t>
      </w:r>
    </w:p>
    <w:p w:rsidR="008E04FD" w:rsidRPr="009667DD" w:rsidRDefault="008E04FD" w:rsidP="008E04FD">
      <w:pPr>
        <w:spacing w:line="480" w:lineRule="auto"/>
        <w:ind w:left="720" w:hanging="720"/>
        <w:jc w:val="both"/>
        <w:rPr>
          <w:rFonts w:ascii="Times New Roman" w:hAnsi="Times New Roman" w:cs="Times New Roman"/>
          <w:sz w:val="24"/>
          <w:szCs w:val="24"/>
        </w:rPr>
      </w:pPr>
      <w:bookmarkStart w:id="0" w:name="_30j0zll"/>
      <w:bookmarkEnd w:id="0"/>
      <w:proofErr w:type="spellStart"/>
      <w:r w:rsidRPr="009667DD">
        <w:rPr>
          <w:rFonts w:ascii="Times New Roman" w:hAnsi="Times New Roman" w:cs="Times New Roman"/>
          <w:sz w:val="24"/>
          <w:szCs w:val="24"/>
        </w:rPr>
        <w:t>Kapitaniak</w:t>
      </w:r>
      <w:proofErr w:type="spellEnd"/>
      <w:r w:rsidRPr="009667DD">
        <w:rPr>
          <w:rFonts w:ascii="Times New Roman" w:hAnsi="Times New Roman" w:cs="Times New Roman"/>
          <w:sz w:val="24"/>
          <w:szCs w:val="24"/>
        </w:rPr>
        <w:t>, P. (2017). Book review: Witchcraft, Witch-Hunting, and Politics in Early Modern England.</w:t>
      </w:r>
    </w:p>
    <w:p w:rsidR="008E04FD" w:rsidRPr="009667DD" w:rsidRDefault="008E04FD" w:rsidP="008E04FD">
      <w:pPr>
        <w:spacing w:line="480" w:lineRule="auto"/>
        <w:ind w:left="720" w:hanging="720"/>
        <w:jc w:val="both"/>
        <w:rPr>
          <w:rFonts w:ascii="Times New Roman" w:hAnsi="Times New Roman" w:cs="Times New Roman"/>
          <w:sz w:val="24"/>
          <w:szCs w:val="24"/>
        </w:rPr>
      </w:pPr>
      <w:bookmarkStart w:id="1" w:name="_19ucuopv060p"/>
      <w:bookmarkEnd w:id="1"/>
      <w:r w:rsidRPr="009667DD">
        <w:rPr>
          <w:rFonts w:ascii="Times New Roman" w:hAnsi="Times New Roman" w:cs="Times New Roman"/>
          <w:sz w:val="24"/>
          <w:szCs w:val="24"/>
        </w:rPr>
        <w:t xml:space="preserve">Van </w:t>
      </w:r>
      <w:proofErr w:type="spellStart"/>
      <w:r w:rsidRPr="009667DD">
        <w:rPr>
          <w:rFonts w:ascii="Times New Roman" w:hAnsi="Times New Roman" w:cs="Times New Roman"/>
          <w:sz w:val="24"/>
          <w:szCs w:val="24"/>
        </w:rPr>
        <w:t>Houts</w:t>
      </w:r>
      <w:proofErr w:type="spellEnd"/>
      <w:r w:rsidRPr="009667DD">
        <w:rPr>
          <w:rFonts w:ascii="Times New Roman" w:hAnsi="Times New Roman" w:cs="Times New Roman"/>
          <w:sz w:val="24"/>
          <w:szCs w:val="24"/>
        </w:rPr>
        <w:t xml:space="preserve">, E. (2015). The Oxford Handbook of Women and Gender in Medieval Europe, ed. Judith M. Bennett and Ruth </w:t>
      </w:r>
      <w:proofErr w:type="spellStart"/>
      <w:r w:rsidRPr="009667DD">
        <w:rPr>
          <w:rFonts w:ascii="Times New Roman" w:hAnsi="Times New Roman" w:cs="Times New Roman"/>
          <w:sz w:val="24"/>
          <w:szCs w:val="24"/>
        </w:rPr>
        <w:t>Mazo</w:t>
      </w:r>
      <w:proofErr w:type="spellEnd"/>
      <w:r w:rsidRPr="009667DD">
        <w:rPr>
          <w:rFonts w:ascii="Times New Roman" w:hAnsi="Times New Roman" w:cs="Times New Roman"/>
          <w:sz w:val="24"/>
          <w:szCs w:val="24"/>
        </w:rPr>
        <w:t xml:space="preserve"> </w:t>
      </w:r>
      <w:proofErr w:type="spellStart"/>
      <w:r w:rsidRPr="009667DD">
        <w:rPr>
          <w:rFonts w:ascii="Times New Roman" w:hAnsi="Times New Roman" w:cs="Times New Roman"/>
          <w:sz w:val="24"/>
          <w:szCs w:val="24"/>
        </w:rPr>
        <w:t>Karras</w:t>
      </w:r>
      <w:proofErr w:type="spellEnd"/>
      <w:r w:rsidRPr="009667DD">
        <w:rPr>
          <w:rFonts w:ascii="Times New Roman" w:hAnsi="Times New Roman" w:cs="Times New Roman"/>
          <w:sz w:val="24"/>
          <w:szCs w:val="24"/>
        </w:rPr>
        <w:t xml:space="preserve">. </w:t>
      </w:r>
      <w:r w:rsidRPr="009667DD">
        <w:rPr>
          <w:rFonts w:ascii="Times New Roman" w:hAnsi="Times New Roman" w:cs="Times New Roman"/>
          <w:i/>
          <w:sz w:val="24"/>
          <w:szCs w:val="24"/>
        </w:rPr>
        <w:t xml:space="preserve">The English Historical Review, </w:t>
      </w:r>
      <w:r w:rsidRPr="009667DD">
        <w:rPr>
          <w:rFonts w:ascii="Times New Roman" w:hAnsi="Times New Roman" w:cs="Times New Roman"/>
          <w:sz w:val="24"/>
          <w:szCs w:val="24"/>
        </w:rPr>
        <w:t>130(543), 406-408.</w:t>
      </w:r>
      <w:bookmarkStart w:id="2" w:name="_1fob9te"/>
      <w:bookmarkEnd w:id="2"/>
    </w:p>
    <w:p w:rsidR="00766578" w:rsidRPr="009667DD" w:rsidRDefault="00766578" w:rsidP="009667DD">
      <w:pPr>
        <w:spacing w:line="480" w:lineRule="auto"/>
        <w:jc w:val="both"/>
        <w:rPr>
          <w:rFonts w:ascii="Times New Roman" w:hAnsi="Times New Roman" w:cs="Times New Roman"/>
          <w:sz w:val="24"/>
          <w:szCs w:val="24"/>
        </w:rPr>
      </w:pPr>
      <w:bookmarkStart w:id="3" w:name="_GoBack"/>
      <w:bookmarkEnd w:id="3"/>
    </w:p>
    <w:p w:rsidR="00766578" w:rsidRPr="009667DD" w:rsidRDefault="00766578" w:rsidP="009667DD">
      <w:pPr>
        <w:spacing w:line="480" w:lineRule="auto"/>
        <w:jc w:val="both"/>
        <w:rPr>
          <w:rFonts w:ascii="Times New Roman" w:hAnsi="Times New Roman" w:cs="Times New Roman"/>
          <w:sz w:val="24"/>
          <w:szCs w:val="24"/>
        </w:rPr>
      </w:pPr>
    </w:p>
    <w:p w:rsidR="00766578" w:rsidRPr="009667DD" w:rsidRDefault="00766578" w:rsidP="009667DD">
      <w:pPr>
        <w:spacing w:line="480" w:lineRule="auto"/>
        <w:jc w:val="both"/>
        <w:rPr>
          <w:rFonts w:ascii="Times New Roman" w:hAnsi="Times New Roman" w:cs="Times New Roman"/>
          <w:sz w:val="24"/>
          <w:szCs w:val="24"/>
        </w:rPr>
      </w:pPr>
    </w:p>
    <w:p w:rsidR="00205861" w:rsidRPr="009667DD" w:rsidRDefault="00205861" w:rsidP="009667DD">
      <w:pPr>
        <w:spacing w:line="480" w:lineRule="auto"/>
        <w:jc w:val="both"/>
        <w:rPr>
          <w:rFonts w:ascii="Times New Roman" w:hAnsi="Times New Roman" w:cs="Times New Roman"/>
          <w:sz w:val="24"/>
          <w:szCs w:val="24"/>
        </w:rPr>
      </w:pPr>
    </w:p>
    <w:sectPr w:rsidR="00205861" w:rsidRPr="009667DD" w:rsidSect="00F060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DB0" w:rsidRDefault="002B0DB0" w:rsidP="00766578">
      <w:pPr>
        <w:spacing w:after="0" w:line="240" w:lineRule="auto"/>
      </w:pPr>
      <w:r>
        <w:separator/>
      </w:r>
    </w:p>
  </w:endnote>
  <w:endnote w:type="continuationSeparator" w:id="0">
    <w:p w:rsidR="002B0DB0" w:rsidRDefault="002B0DB0" w:rsidP="007665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DB0" w:rsidRDefault="002B0DB0" w:rsidP="00766578">
      <w:pPr>
        <w:spacing w:after="0" w:line="240" w:lineRule="auto"/>
      </w:pPr>
      <w:r>
        <w:separator/>
      </w:r>
    </w:p>
  </w:footnote>
  <w:footnote w:type="continuationSeparator" w:id="0">
    <w:p w:rsidR="002B0DB0" w:rsidRDefault="002B0DB0" w:rsidP="007665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578" w:rsidRDefault="00F0606B" w:rsidP="00F0606B">
    <w:pPr>
      <w:pStyle w:val="Header"/>
    </w:pPr>
    <w:r w:rsidRPr="00766578">
      <w:t>WHY WOMEN AND STRUCTURE OF WITCH HUNT</w:t>
    </w:r>
    <w:r>
      <w:tab/>
    </w:r>
    <w:r w:rsidR="00153619">
      <w:tab/>
    </w:r>
    <w:r w:rsidR="00766578">
      <w:t xml:space="preserve"> </w:t>
    </w:r>
    <w:sdt>
      <w:sdtPr>
        <w:id w:val="-1015693264"/>
        <w:docPartObj>
          <w:docPartGallery w:val="Page Numbers (Top of Page)"/>
          <w:docPartUnique/>
        </w:docPartObj>
      </w:sdtPr>
      <w:sdtEndPr>
        <w:rPr>
          <w:noProof/>
        </w:rPr>
      </w:sdtEndPr>
      <w:sdtContent>
        <w:r w:rsidR="00766578">
          <w:fldChar w:fldCharType="begin"/>
        </w:r>
        <w:r w:rsidR="00766578">
          <w:instrText xml:space="preserve"> PAGE   \* MERGEFORMAT </w:instrText>
        </w:r>
        <w:r w:rsidR="00766578">
          <w:fldChar w:fldCharType="separate"/>
        </w:r>
        <w:r w:rsidR="008E04FD">
          <w:rPr>
            <w:noProof/>
          </w:rPr>
          <w:t>2</w:t>
        </w:r>
        <w:r w:rsidR="00766578">
          <w:rPr>
            <w:noProof/>
          </w:rPr>
          <w:fldChar w:fldCharType="end"/>
        </w:r>
      </w:sdtContent>
    </w:sdt>
  </w:p>
  <w:p w:rsidR="00766578" w:rsidRDefault="007665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06B" w:rsidRDefault="00153619">
    <w:pPr>
      <w:pStyle w:val="Header"/>
    </w:pPr>
    <w:r>
      <w:t xml:space="preserve">Running head: WHY WOMEN AND WITCH HUNT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4F5"/>
    <w:rsid w:val="00153619"/>
    <w:rsid w:val="00205861"/>
    <w:rsid w:val="002B0DB0"/>
    <w:rsid w:val="00766578"/>
    <w:rsid w:val="007D44F5"/>
    <w:rsid w:val="008E04FD"/>
    <w:rsid w:val="009667DD"/>
    <w:rsid w:val="00F06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D92FD"/>
  <w15:chartTrackingRefBased/>
  <w15:docId w15:val="{CF25CB5E-4E8D-4D00-8D51-D4256FC3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5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6578"/>
  </w:style>
  <w:style w:type="paragraph" w:styleId="Footer">
    <w:name w:val="footer"/>
    <w:basedOn w:val="Normal"/>
    <w:link w:val="FooterChar"/>
    <w:uiPriority w:val="99"/>
    <w:unhideWhenUsed/>
    <w:rsid w:val="007665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6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5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2019-04-11T18:37:00Z</dcterms:created>
  <dcterms:modified xsi:type="dcterms:W3CDTF">2019-04-11T18:43:00Z</dcterms:modified>
</cp:coreProperties>
</file>