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C3D0D" w14:textId="77777777" w:rsidR="00DE335F" w:rsidRPr="00DE335F" w:rsidRDefault="00DE335F" w:rsidP="00DE335F">
      <w:pPr>
        <w:spacing w:after="0" w:line="345" w:lineRule="atLeast"/>
        <w:outlineLvl w:val="1"/>
        <w:rPr>
          <w:rFonts w:ascii="Helvetica" w:eastAsia="Times New Roman" w:hAnsi="Helvetica" w:cs="Helvetica"/>
          <w:b/>
          <w:bCs/>
          <w:color w:val="002664"/>
          <w:sz w:val="36"/>
          <w:szCs w:val="36"/>
        </w:rPr>
      </w:pPr>
      <w:r w:rsidRPr="00DE335F">
        <w:rPr>
          <w:rFonts w:ascii="Helvetica" w:eastAsia="Times New Roman" w:hAnsi="Helvetica" w:cs="Helvetica"/>
          <w:b/>
          <w:bCs/>
          <w:color w:val="002664"/>
          <w:sz w:val="36"/>
          <w:szCs w:val="36"/>
        </w:rPr>
        <w:fldChar w:fldCharType="begin"/>
      </w:r>
      <w:r w:rsidRPr="00DE335F">
        <w:rPr>
          <w:rFonts w:ascii="Helvetica" w:eastAsia="Times New Roman" w:hAnsi="Helvetica" w:cs="Helvetica"/>
          <w:b/>
          <w:bCs/>
          <w:color w:val="002664"/>
          <w:sz w:val="36"/>
          <w:szCs w:val="36"/>
        </w:rPr>
        <w:instrText xml:space="preserve"> HYPERLINK "https://ashford.instructure.com/courses/64357/users/236197" \o "Author's name" </w:instrText>
      </w:r>
      <w:r w:rsidRPr="00DE335F">
        <w:rPr>
          <w:rFonts w:ascii="Helvetica" w:eastAsia="Times New Roman" w:hAnsi="Helvetica" w:cs="Helvetica"/>
          <w:b/>
          <w:bCs/>
          <w:color w:val="002664"/>
          <w:sz w:val="36"/>
          <w:szCs w:val="36"/>
        </w:rPr>
        <w:fldChar w:fldCharType="separate"/>
      </w:r>
      <w:r w:rsidRPr="00DE335F">
        <w:rPr>
          <w:rFonts w:ascii="Helvetica" w:eastAsia="Times New Roman" w:hAnsi="Helvetica" w:cs="Helvetica"/>
          <w:b/>
          <w:bCs/>
          <w:color w:val="0000FF"/>
          <w:sz w:val="36"/>
          <w:szCs w:val="36"/>
          <w:u w:val="single"/>
        </w:rPr>
        <w:t>Roman Gibbons</w:t>
      </w:r>
      <w:r w:rsidRPr="00DE335F">
        <w:rPr>
          <w:rFonts w:ascii="Helvetica" w:eastAsia="Times New Roman" w:hAnsi="Helvetica" w:cs="Helvetica"/>
          <w:b/>
          <w:bCs/>
          <w:color w:val="002664"/>
          <w:sz w:val="36"/>
          <w:szCs w:val="36"/>
        </w:rPr>
        <w:fldChar w:fldCharType="end"/>
      </w:r>
    </w:p>
    <w:p w14:paraId="40E85AA9"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The topic of discussion and this doctoral student is “Evaluating Cases of Racial Prejudice Among prisoners in the United States.” The three quantitative research studies conducted for this paper was:</w:t>
      </w:r>
    </w:p>
    <w:p w14:paraId="2CEAE827" w14:textId="77777777" w:rsidR="00DE335F" w:rsidRPr="00DE335F" w:rsidRDefault="00DE335F" w:rsidP="00DE335F">
      <w:pPr>
        <w:numPr>
          <w:ilvl w:val="0"/>
          <w:numId w:val="1"/>
        </w:numPr>
        <w:shd w:val="clear" w:color="auto" w:fill="FFFFFF"/>
        <w:spacing w:beforeAutospacing="1" w:after="0" w:afterAutospacing="1" w:line="240" w:lineRule="auto"/>
        <w:ind w:left="375"/>
        <w:rPr>
          <w:rFonts w:ascii="Helvetica" w:eastAsia="Times New Roman" w:hAnsi="Helvetica" w:cs="Helvetica"/>
          <w:color w:val="2D3B45"/>
          <w:sz w:val="24"/>
          <w:szCs w:val="24"/>
        </w:rPr>
      </w:pPr>
      <w:proofErr w:type="spellStart"/>
      <w:r w:rsidRPr="00DE335F">
        <w:rPr>
          <w:rFonts w:ascii="Helvetica" w:eastAsia="Times New Roman" w:hAnsi="Helvetica" w:cs="Helvetica"/>
          <w:color w:val="2D3B45"/>
          <w:sz w:val="24"/>
          <w:szCs w:val="24"/>
        </w:rPr>
        <w:t>Bienen</w:t>
      </w:r>
      <w:proofErr w:type="spellEnd"/>
      <w:r w:rsidRPr="00DE335F">
        <w:rPr>
          <w:rFonts w:ascii="Helvetica" w:eastAsia="Times New Roman" w:hAnsi="Helvetica" w:cs="Helvetica"/>
          <w:color w:val="2D3B45"/>
          <w:sz w:val="24"/>
          <w:szCs w:val="24"/>
        </w:rPr>
        <w:t>, L. (1996). The proportionality review of capital cases by state high courts: “The Appearance of Justice”? </w:t>
      </w:r>
      <w:r w:rsidRPr="00DE335F">
        <w:rPr>
          <w:rFonts w:ascii="Helvetica" w:eastAsia="Times New Roman" w:hAnsi="Helvetica" w:cs="Helvetica"/>
          <w:i/>
          <w:iCs/>
          <w:color w:val="2D3B45"/>
          <w:sz w:val="24"/>
          <w:szCs w:val="24"/>
        </w:rPr>
        <w:t>Journal of Criminal Law &amp; Criminology, 87</w:t>
      </w:r>
      <w:r w:rsidRPr="00DE335F">
        <w:rPr>
          <w:rFonts w:ascii="Helvetica" w:eastAsia="Times New Roman" w:hAnsi="Helvetica" w:cs="Helvetica"/>
          <w:color w:val="2D3B45"/>
          <w:sz w:val="24"/>
          <w:szCs w:val="24"/>
        </w:rPr>
        <w:t>(1), 130. </w:t>
      </w:r>
      <w:hyperlink r:id="rId5" w:tgtFrame="_blank" w:history="1">
        <w:r w:rsidRPr="00DE335F">
          <w:rPr>
            <w:rFonts w:ascii="Helvetica" w:eastAsia="Times New Roman" w:hAnsi="Helvetica" w:cs="Helvetica"/>
            <w:color w:val="0000FF"/>
            <w:sz w:val="24"/>
            <w:szCs w:val="24"/>
            <w:u w:val="single"/>
          </w:rPr>
          <w:t>https://doi-org.proxy-library.ashford.edu/10.2307/1143794</w:t>
        </w:r>
        <w:r w:rsidRPr="00DE335F">
          <w:rPr>
            <w:rFonts w:ascii="Helvetica" w:eastAsia="Times New Roman" w:hAnsi="Helvetica" w:cs="Helvetica"/>
            <w:color w:val="0000FF"/>
            <w:sz w:val="24"/>
            <w:szCs w:val="24"/>
            <w:bdr w:val="none" w:sz="0" w:space="0" w:color="auto" w:frame="1"/>
          </w:rPr>
          <w:t> (Links to an external site.)</w:t>
        </w:r>
      </w:hyperlink>
    </w:p>
    <w:p w14:paraId="4AD8E314" w14:textId="77777777" w:rsidR="00DE335F" w:rsidRPr="00DE335F" w:rsidRDefault="00DE335F" w:rsidP="00DE335F">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Hall, C (2015). Criminal disparity and discrimination relations of African-Americans: Assessing the Disparate Siting and Post-Sitting Demographic Change Hypothesis.</w:t>
      </w:r>
    </w:p>
    <w:p w14:paraId="7D8C57F8" w14:textId="77777777" w:rsidR="00DE335F" w:rsidRPr="00DE335F" w:rsidRDefault="00DE335F" w:rsidP="00DE335F">
      <w:pPr>
        <w:shd w:val="clear" w:color="auto" w:fill="FFFFFF"/>
        <w:spacing w:before="180" w:after="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Davis V (2019). Is it unethical to allow racial disparity and discrimination it the criminal justice system: </w:t>
      </w:r>
      <w:r w:rsidRPr="00DE335F">
        <w:rPr>
          <w:rFonts w:ascii="Helvetica" w:eastAsia="Times New Roman" w:hAnsi="Helvetica" w:cs="Helvetica"/>
          <w:i/>
          <w:iCs/>
          <w:color w:val="2D3B45"/>
          <w:sz w:val="24"/>
          <w:szCs w:val="24"/>
        </w:rPr>
        <w:t>Journal of Criminal Law,34</w:t>
      </w:r>
      <w:r w:rsidRPr="00DE335F">
        <w:rPr>
          <w:rFonts w:ascii="Helvetica" w:eastAsia="Times New Roman" w:hAnsi="Helvetica" w:cs="Helvetica"/>
          <w:color w:val="2D3B45"/>
          <w:sz w:val="24"/>
          <w:szCs w:val="24"/>
        </w:rPr>
        <w:t>(</w:t>
      </w:r>
      <w:proofErr w:type="gramStart"/>
      <w:r w:rsidRPr="00DE335F">
        <w:rPr>
          <w:rFonts w:ascii="Helvetica" w:eastAsia="Times New Roman" w:hAnsi="Helvetica" w:cs="Helvetica"/>
          <w:color w:val="2D3B45"/>
          <w:sz w:val="24"/>
          <w:szCs w:val="24"/>
        </w:rPr>
        <w:t>5).</w:t>
      </w:r>
      <w:proofErr w:type="gramEnd"/>
      <w:r w:rsidRPr="00DE335F">
        <w:rPr>
          <w:rFonts w:ascii="Helvetica" w:eastAsia="Times New Roman" w:hAnsi="Helvetica" w:cs="Helvetica"/>
          <w:color w:val="2D3B45"/>
          <w:sz w:val="24"/>
          <w:szCs w:val="24"/>
        </w:rPr>
        <w:t xml:space="preserve"> Pp 434-255.</w:t>
      </w:r>
    </w:p>
    <w:p w14:paraId="0C17BFE8"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w:t>
      </w:r>
    </w:p>
    <w:p w14:paraId="0629CFAC"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References</w:t>
      </w:r>
    </w:p>
    <w:p w14:paraId="0D10A94B"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In all three articles, the authors conducted a quantitative research study to review what was the percentage of people on death row by race and what was their opinion of how they were treated when they were charged, convicted, and sentenced. To further understand the pervasiveness of the discriminatory and racial treatment within the criminal justice system, this article analyzes primary survey data derived from a prison sample of servers. Participants were asked a series of questions through questionnaires ascertaining information about their time in the criminal justice system and if they feel they were racially or discriminated against by the courts where they were convicted. The findings and evidence were substantial that the overwhelming participants of African-American of feel they were racially discriminated against by the courts they were charged. The research methods in the first article that was used the experimental design as the author sought to measure if African-Americans believed they were going to be discriminated against prior to being charged and compare them to the questionnaires and survey conducted with current death row inmates. The second study research method was case studies as the researcher sought a small sample population to examine the criminal histories of the defendants. For example, the researchers examined the participants who had extensive criminal histories to understand their habits, personal history, and home life. The third article used interviews for his research method. The interview questions were closed from other participants and were asked to give in-depth questions about their experience with racial disparity and discrimination in the criminal justice system. The measurement of implicit bias was a computer system called (IAT). This computer system was tested and proven to be unbiased when measuring statistics data showing how African-Americans are charged and sentenced to prison and death row compared to other races of people. The three articles examined the correlation between measures of implicit and explicit attitudes and examined the correlation between implicit and explicit measures of being a target of racial/ethnic discrimination personally and for the respondent's racial/ethnic group. All three quantitative research articles produced three research and hypothesis questions:</w:t>
      </w:r>
    </w:p>
    <w:p w14:paraId="533B5160" w14:textId="77777777" w:rsidR="00DE335F" w:rsidRPr="00DE335F" w:rsidRDefault="00DE335F" w:rsidP="00DE3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lastRenderedPageBreak/>
        <w:t>Can people be judged fairly without their race being a factor?</w:t>
      </w:r>
    </w:p>
    <w:p w14:paraId="25ADB362" w14:textId="77777777" w:rsidR="00DE335F" w:rsidRPr="00DE335F" w:rsidRDefault="00DE335F" w:rsidP="00DE335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Can a defendant of an opposite race fairly judge a defendant that could potentially be facing the death penalty?</w:t>
      </w:r>
    </w:p>
    <w:p w14:paraId="13C77279" w14:textId="77777777" w:rsidR="00DE335F" w:rsidRPr="00DE335F" w:rsidRDefault="00DE335F" w:rsidP="00DE335F">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Because of current and past data showing an overwhelming amount of evidence along with data revealing a racial disparity and discrimination among African-Americans is this enough evidence to change the laws on charging, and sentencing?</w:t>
      </w:r>
    </w:p>
    <w:p w14:paraId="657F4473"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Roman</w:t>
      </w:r>
    </w:p>
    <w:p w14:paraId="5E71EE54"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References</w:t>
      </w:r>
    </w:p>
    <w:p w14:paraId="53D104B3" w14:textId="77777777" w:rsidR="00DE335F" w:rsidRPr="00DE335F" w:rsidRDefault="00DE335F" w:rsidP="00DE335F">
      <w:pPr>
        <w:numPr>
          <w:ilvl w:val="0"/>
          <w:numId w:val="3"/>
        </w:numPr>
        <w:shd w:val="clear" w:color="auto" w:fill="FFFFFF"/>
        <w:spacing w:beforeAutospacing="1" w:after="0" w:afterAutospacing="1" w:line="240" w:lineRule="auto"/>
        <w:ind w:left="375"/>
        <w:rPr>
          <w:rFonts w:ascii="Helvetica" w:eastAsia="Times New Roman" w:hAnsi="Helvetica" w:cs="Helvetica"/>
          <w:color w:val="2D3B45"/>
          <w:sz w:val="24"/>
          <w:szCs w:val="24"/>
        </w:rPr>
      </w:pPr>
      <w:proofErr w:type="spellStart"/>
      <w:r w:rsidRPr="00DE335F">
        <w:rPr>
          <w:rFonts w:ascii="Helvetica" w:eastAsia="Times New Roman" w:hAnsi="Helvetica" w:cs="Helvetica"/>
          <w:color w:val="2D3B45"/>
          <w:sz w:val="24"/>
          <w:szCs w:val="24"/>
        </w:rPr>
        <w:t>Bienen</w:t>
      </w:r>
      <w:proofErr w:type="spellEnd"/>
      <w:r w:rsidRPr="00DE335F">
        <w:rPr>
          <w:rFonts w:ascii="Helvetica" w:eastAsia="Times New Roman" w:hAnsi="Helvetica" w:cs="Helvetica"/>
          <w:color w:val="2D3B45"/>
          <w:sz w:val="24"/>
          <w:szCs w:val="24"/>
        </w:rPr>
        <w:t>, L. (1996). The proportionality review of capital cases by state high courts: “The Appearance of Justice”? </w:t>
      </w:r>
      <w:r w:rsidRPr="00DE335F">
        <w:rPr>
          <w:rFonts w:ascii="Helvetica" w:eastAsia="Times New Roman" w:hAnsi="Helvetica" w:cs="Helvetica"/>
          <w:i/>
          <w:iCs/>
          <w:color w:val="2D3B45"/>
          <w:sz w:val="24"/>
          <w:szCs w:val="24"/>
        </w:rPr>
        <w:t>Journal of Criminal Law &amp; Criminology, 87</w:t>
      </w:r>
      <w:r w:rsidRPr="00DE335F">
        <w:rPr>
          <w:rFonts w:ascii="Helvetica" w:eastAsia="Times New Roman" w:hAnsi="Helvetica" w:cs="Helvetica"/>
          <w:color w:val="2D3B45"/>
          <w:sz w:val="24"/>
          <w:szCs w:val="24"/>
        </w:rPr>
        <w:t>(1), 130. </w:t>
      </w:r>
      <w:hyperlink r:id="rId6" w:tgtFrame="_blank" w:history="1">
        <w:r w:rsidRPr="00DE335F">
          <w:rPr>
            <w:rFonts w:ascii="Helvetica" w:eastAsia="Times New Roman" w:hAnsi="Helvetica" w:cs="Helvetica"/>
            <w:color w:val="0000FF"/>
            <w:sz w:val="24"/>
            <w:szCs w:val="24"/>
            <w:u w:val="single"/>
          </w:rPr>
          <w:t>https://doi-org.proxy-library.ashford.edu/10.2307/1143794</w:t>
        </w:r>
        <w:r w:rsidRPr="00DE335F">
          <w:rPr>
            <w:rFonts w:ascii="Helvetica" w:eastAsia="Times New Roman" w:hAnsi="Helvetica" w:cs="Helvetica"/>
            <w:color w:val="0000FF"/>
            <w:sz w:val="24"/>
            <w:szCs w:val="24"/>
            <w:bdr w:val="none" w:sz="0" w:space="0" w:color="auto" w:frame="1"/>
          </w:rPr>
          <w:t> (Links to an external site.)</w:t>
        </w:r>
      </w:hyperlink>
    </w:p>
    <w:p w14:paraId="14AE2E5B" w14:textId="77777777" w:rsidR="00DE335F" w:rsidRPr="00DE335F" w:rsidRDefault="00DE335F" w:rsidP="00DE335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Hall, C (2015). Criminal disparity and discrimination relations of African-Americans: Assessing the Disparate Siting and Post-Sitting Demographic Change Hypothesis.</w:t>
      </w:r>
    </w:p>
    <w:p w14:paraId="79351F0A" w14:textId="77777777" w:rsidR="00DE335F" w:rsidRPr="00DE335F" w:rsidRDefault="00DE335F" w:rsidP="00DE335F">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Davis V (2019). Is it unethical to allow racial disparity and discrimination it the criminal justice system: </w:t>
      </w:r>
      <w:r w:rsidRPr="00DE335F">
        <w:rPr>
          <w:rFonts w:ascii="Helvetica" w:eastAsia="Times New Roman" w:hAnsi="Helvetica" w:cs="Helvetica"/>
          <w:i/>
          <w:iCs/>
          <w:color w:val="2D3B45"/>
          <w:sz w:val="24"/>
          <w:szCs w:val="24"/>
        </w:rPr>
        <w:t>Journal of Criminal Law,34</w:t>
      </w:r>
      <w:r w:rsidRPr="00DE335F">
        <w:rPr>
          <w:rFonts w:ascii="Helvetica" w:eastAsia="Times New Roman" w:hAnsi="Helvetica" w:cs="Helvetica"/>
          <w:color w:val="2D3B45"/>
          <w:sz w:val="24"/>
          <w:szCs w:val="24"/>
        </w:rPr>
        <w:t>(</w:t>
      </w:r>
      <w:proofErr w:type="gramStart"/>
      <w:r w:rsidRPr="00DE335F">
        <w:rPr>
          <w:rFonts w:ascii="Helvetica" w:eastAsia="Times New Roman" w:hAnsi="Helvetica" w:cs="Helvetica"/>
          <w:color w:val="2D3B45"/>
          <w:sz w:val="24"/>
          <w:szCs w:val="24"/>
        </w:rPr>
        <w:t>5).</w:t>
      </w:r>
      <w:proofErr w:type="gramEnd"/>
      <w:r w:rsidRPr="00DE335F">
        <w:rPr>
          <w:rFonts w:ascii="Helvetica" w:eastAsia="Times New Roman" w:hAnsi="Helvetica" w:cs="Helvetica"/>
          <w:color w:val="2D3B45"/>
          <w:sz w:val="24"/>
          <w:szCs w:val="24"/>
        </w:rPr>
        <w:t xml:space="preserve"> Pp 434-255.</w:t>
      </w:r>
    </w:p>
    <w:p w14:paraId="1A69E7D6" w14:textId="34C209EE" w:rsidR="00822469" w:rsidRDefault="00822469"/>
    <w:p w14:paraId="1303CF4C" w14:textId="1434564D" w:rsidR="00DE335F" w:rsidRDefault="00DE335F"/>
    <w:p w14:paraId="757E606C" w14:textId="77777777" w:rsidR="00DE335F" w:rsidRPr="00DE335F" w:rsidRDefault="00DE335F" w:rsidP="00DE335F">
      <w:pPr>
        <w:spacing w:after="0" w:line="345" w:lineRule="atLeast"/>
        <w:outlineLvl w:val="1"/>
        <w:rPr>
          <w:rFonts w:ascii="Helvetica" w:eastAsia="Times New Roman" w:hAnsi="Helvetica" w:cs="Helvetica"/>
          <w:b/>
          <w:bCs/>
          <w:color w:val="002664"/>
          <w:sz w:val="36"/>
          <w:szCs w:val="36"/>
        </w:rPr>
      </w:pPr>
      <w:hyperlink r:id="rId7" w:tooltip="Author's name" w:history="1">
        <w:r w:rsidRPr="00DE335F">
          <w:rPr>
            <w:rFonts w:ascii="Helvetica" w:eastAsia="Times New Roman" w:hAnsi="Helvetica" w:cs="Helvetica"/>
            <w:b/>
            <w:bCs/>
            <w:color w:val="0000FF"/>
            <w:sz w:val="36"/>
            <w:szCs w:val="36"/>
            <w:u w:val="single"/>
          </w:rPr>
          <w:t>Nichole Fields</w:t>
        </w:r>
      </w:hyperlink>
    </w:p>
    <w:p w14:paraId="1E01FF2F"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The topic of this discussion is Corporate Social Responsibilities and the qualitative use of within the three articles that were reviewed.</w:t>
      </w:r>
    </w:p>
    <w:p w14:paraId="4DA76C57" w14:textId="77777777" w:rsidR="00DE335F" w:rsidRPr="00DE335F" w:rsidRDefault="00DE335F" w:rsidP="00DE335F">
      <w:pPr>
        <w:shd w:val="clear" w:color="auto" w:fill="FFFFFF"/>
        <w:spacing w:before="180" w:after="0" w:line="240" w:lineRule="auto"/>
        <w:rPr>
          <w:rFonts w:ascii="Helvetica" w:eastAsia="Times New Roman" w:hAnsi="Helvetica" w:cs="Helvetica"/>
          <w:color w:val="2D3B45"/>
          <w:sz w:val="24"/>
          <w:szCs w:val="24"/>
        </w:rPr>
      </w:pPr>
      <w:r w:rsidRPr="00DE335F">
        <w:rPr>
          <w:rFonts w:ascii="Helvetica" w:eastAsia="Times New Roman" w:hAnsi="Helvetica" w:cs="Helvetica"/>
          <w:b/>
          <w:bCs/>
          <w:color w:val="2D3B45"/>
          <w:sz w:val="24"/>
          <w:szCs w:val="24"/>
        </w:rPr>
        <w:t>Articles:</w:t>
      </w:r>
    </w:p>
    <w:p w14:paraId="2AF41D46" w14:textId="77777777" w:rsidR="00DE335F" w:rsidRPr="00DE335F" w:rsidRDefault="00DE335F" w:rsidP="00DE335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Age Diversity and Corporate Social Responsibility—Evidence from Chinese Listed Firms. Open Journal of Social Sciences. (Liu, P. and Zeng, R., 2017)</w:t>
      </w:r>
    </w:p>
    <w:p w14:paraId="7213CDD5" w14:textId="77777777" w:rsidR="00DE335F" w:rsidRPr="00DE335F" w:rsidRDefault="00DE335F" w:rsidP="00DE335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Determinants to the implementation of corporate social responsibility in the maritime industry: a quantitative study. Journal of International Maritime Safety, Environmental Affairs, and Shipping. (</w:t>
      </w:r>
      <w:proofErr w:type="spellStart"/>
      <w:r w:rsidRPr="00DE335F">
        <w:rPr>
          <w:rFonts w:ascii="Helvetica" w:eastAsia="Times New Roman" w:hAnsi="Helvetica" w:cs="Helvetica"/>
          <w:color w:val="2D3B45"/>
          <w:sz w:val="24"/>
          <w:szCs w:val="24"/>
        </w:rPr>
        <w:t>Fasoulis</w:t>
      </w:r>
      <w:proofErr w:type="spellEnd"/>
      <w:r w:rsidRPr="00DE335F">
        <w:rPr>
          <w:rFonts w:ascii="Helvetica" w:eastAsia="Times New Roman" w:hAnsi="Helvetica" w:cs="Helvetica"/>
          <w:color w:val="2D3B45"/>
          <w:sz w:val="24"/>
          <w:szCs w:val="24"/>
        </w:rPr>
        <w:t>, I., &amp; Kurt, R. E.,2019).</w:t>
      </w:r>
    </w:p>
    <w:p w14:paraId="7CCC688D" w14:textId="77777777" w:rsidR="00DE335F" w:rsidRPr="00DE335F" w:rsidRDefault="00DE335F" w:rsidP="00DE335F">
      <w:pPr>
        <w:numPr>
          <w:ilvl w:val="0"/>
          <w:numId w:val="4"/>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Ethics and CSR research in top-ranked IS journals, 1980-2013: a developing trend or anomaly? (Weiss, J. (2017)</w:t>
      </w:r>
    </w:p>
    <w:p w14:paraId="48D3D2F2" w14:textId="77777777" w:rsidR="00DE335F" w:rsidRPr="00DE335F" w:rsidRDefault="00DE335F" w:rsidP="00DE335F">
      <w:pPr>
        <w:shd w:val="clear" w:color="auto" w:fill="FFFFFF"/>
        <w:spacing w:before="180" w:after="0" w:line="240" w:lineRule="auto"/>
        <w:rPr>
          <w:rFonts w:ascii="Helvetica" w:eastAsia="Times New Roman" w:hAnsi="Helvetica" w:cs="Helvetica"/>
          <w:color w:val="2D3B45"/>
          <w:sz w:val="24"/>
          <w:szCs w:val="24"/>
        </w:rPr>
      </w:pPr>
      <w:r w:rsidRPr="00DE335F">
        <w:rPr>
          <w:rFonts w:ascii="Helvetica" w:eastAsia="Times New Roman" w:hAnsi="Helvetica" w:cs="Helvetica"/>
          <w:b/>
          <w:bCs/>
          <w:color w:val="2D3B45"/>
          <w:sz w:val="24"/>
          <w:szCs w:val="24"/>
        </w:rPr>
        <w:t>Discussion</w:t>
      </w:r>
    </w:p>
    <w:p w14:paraId="01507325" w14:textId="77777777" w:rsidR="00DE335F" w:rsidRPr="00DE335F" w:rsidRDefault="00DE335F" w:rsidP="00DE335F">
      <w:pPr>
        <w:shd w:val="clear" w:color="auto" w:fill="FFFFFF"/>
        <w:spacing w:before="180" w:after="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xml:space="preserve">            Liu’s article identifies its problem as age diversity in a firm’s board, acting as an influence on the implementation of CSR initiatives. The study uses a qualitative design by opting to quantify the problem of age diversification by generating numerical data on its age and CSR variables. The age diversity index was constructed through the use of </w:t>
      </w:r>
      <w:proofErr w:type="spellStart"/>
      <w:r w:rsidRPr="00DE335F">
        <w:rPr>
          <w:rFonts w:ascii="Helvetica" w:eastAsia="Times New Roman" w:hAnsi="Helvetica" w:cs="Helvetica"/>
          <w:color w:val="2D3B45"/>
          <w:sz w:val="24"/>
          <w:szCs w:val="24"/>
        </w:rPr>
        <w:t>Blau’s</w:t>
      </w:r>
      <w:proofErr w:type="spellEnd"/>
      <w:r w:rsidRPr="00DE335F">
        <w:rPr>
          <w:rFonts w:ascii="Helvetica" w:eastAsia="Times New Roman" w:hAnsi="Helvetica" w:cs="Helvetica"/>
          <w:color w:val="2D3B45"/>
          <w:sz w:val="24"/>
          <w:szCs w:val="24"/>
        </w:rPr>
        <w:t xml:space="preserve"> heterogeneity index given as 1-ΣΡι</w:t>
      </w:r>
      <w:r w:rsidRPr="00DE335F">
        <w:rPr>
          <w:rFonts w:ascii="Helvetica" w:eastAsia="Times New Roman" w:hAnsi="Helvetica" w:cs="Helvetica"/>
          <w:color w:val="2D3B45"/>
          <w:sz w:val="18"/>
          <w:szCs w:val="18"/>
          <w:vertAlign w:val="superscript"/>
        </w:rPr>
        <w:t>2</w:t>
      </w:r>
      <w:r w:rsidRPr="00DE335F">
        <w:rPr>
          <w:rFonts w:ascii="Helvetica" w:eastAsia="Times New Roman" w:hAnsi="Helvetica" w:cs="Helvetica"/>
          <w:color w:val="2D3B45"/>
          <w:sz w:val="24"/>
          <w:szCs w:val="24"/>
        </w:rPr>
        <w:t xml:space="preserve">, where P was the proportion of directors in the companies, and </w:t>
      </w:r>
      <w:proofErr w:type="spellStart"/>
      <w:r w:rsidRPr="00DE335F">
        <w:rPr>
          <w:rFonts w:ascii="Helvetica" w:eastAsia="Times New Roman" w:hAnsi="Helvetica" w:cs="Helvetica"/>
          <w:color w:val="2D3B45"/>
          <w:sz w:val="24"/>
          <w:szCs w:val="24"/>
        </w:rPr>
        <w:t>i</w:t>
      </w:r>
      <w:proofErr w:type="spellEnd"/>
      <w:r w:rsidRPr="00DE335F">
        <w:rPr>
          <w:rFonts w:ascii="Helvetica" w:eastAsia="Times New Roman" w:hAnsi="Helvetica" w:cs="Helvetica"/>
          <w:color w:val="2D3B45"/>
          <w:sz w:val="24"/>
          <w:szCs w:val="24"/>
        </w:rPr>
        <w:t xml:space="preserve"> was the number of categories. Since CSR is company objectives, the authors used CSMAR to divide it into twelve different categories and coded the types as 0 and 1. The study used a sample size of 305 A- listed Chinese firms for the </w:t>
      </w:r>
      <w:r w:rsidRPr="00DE335F">
        <w:rPr>
          <w:rFonts w:ascii="Helvetica" w:eastAsia="Times New Roman" w:hAnsi="Helvetica" w:cs="Helvetica"/>
          <w:color w:val="2D3B45"/>
          <w:sz w:val="24"/>
          <w:szCs w:val="24"/>
        </w:rPr>
        <w:lastRenderedPageBreak/>
        <w:t>study. The measurable data collected from these companies were compiled and taken through a linear regression analysis to find out if there was a relationship between age and CSR implementation. The data further underwent a two-stage least square regression analysis to prove the robustness of the previous results (Liu, 2017).</w:t>
      </w:r>
    </w:p>
    <w:p w14:paraId="065E1522"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w:t>
      </w:r>
      <w:proofErr w:type="spellStart"/>
      <w:r w:rsidRPr="00DE335F">
        <w:rPr>
          <w:rFonts w:ascii="Helvetica" w:eastAsia="Times New Roman" w:hAnsi="Helvetica" w:cs="Helvetica"/>
          <w:color w:val="2D3B45"/>
          <w:sz w:val="24"/>
          <w:szCs w:val="24"/>
        </w:rPr>
        <w:t>Fasoulis’s</w:t>
      </w:r>
      <w:proofErr w:type="spellEnd"/>
      <w:r w:rsidRPr="00DE335F">
        <w:rPr>
          <w:rFonts w:ascii="Helvetica" w:eastAsia="Times New Roman" w:hAnsi="Helvetica" w:cs="Helvetica"/>
          <w:color w:val="2D3B45"/>
          <w:sz w:val="24"/>
          <w:szCs w:val="24"/>
        </w:rPr>
        <w:t xml:space="preserve"> article aims to investigate determinants to the implementation of CSR in the maritime industry and to connect what was known on the area to what we could learn from it. Unlike qualitative studies, the study uses a qualitative design by using structured questionnaires that limit participant responses to the outlined answers in the questionnaire. To generate more numerical data, the variables tested were mainly categorical variables which were measured either on a nominal scale or through the chi-square test of independence. The chi-square test enabled the authors to reject their null hypothesis if the results of the p-value were below 95% level of significance. Also, the study used contingency coefficient measures to test the strength of the relationships between variables. Thus, the study was a quantitative study due to its structured data collection and analysis methods used in turning numerical data to facts (</w:t>
      </w:r>
      <w:proofErr w:type="spellStart"/>
      <w:r w:rsidRPr="00DE335F">
        <w:rPr>
          <w:rFonts w:ascii="Helvetica" w:eastAsia="Times New Roman" w:hAnsi="Helvetica" w:cs="Helvetica"/>
          <w:color w:val="2D3B45"/>
          <w:sz w:val="24"/>
          <w:szCs w:val="24"/>
        </w:rPr>
        <w:t>Fasoulis</w:t>
      </w:r>
      <w:proofErr w:type="spellEnd"/>
      <w:r w:rsidRPr="00DE335F">
        <w:rPr>
          <w:rFonts w:ascii="Helvetica" w:eastAsia="Times New Roman" w:hAnsi="Helvetica" w:cs="Helvetica"/>
          <w:color w:val="2D3B45"/>
          <w:sz w:val="24"/>
          <w:szCs w:val="24"/>
        </w:rPr>
        <w:t>, 2019).</w:t>
      </w:r>
    </w:p>
    <w:p w14:paraId="625D5FCA"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Weiss’s article identifies the importance of CSR approaches and ethics in IS journals. The study uses a bibliometric methodology to identify 86 pieces that suited the laid-out criteria. In a bid to find usable and measurable data for further analysis, the study quantifies the ethics and CSR variables by grouping the bibliometric studies according to the main area they cover. Based on the research, we see ethics and CSR IS articles rising mainly from 1990-2013 when more firms started to practice them. The trend of the rise in ethics and CSR IS journals can be seen in the number of qualitative and quantitative studies analyzed. Quantitative studies took 34.88%, while qualitative studies had 22.09%. The data suggests the developing area tended to be more positivist and less interpretative (Weiss, 2017).</w:t>
      </w:r>
    </w:p>
    <w:p w14:paraId="3330B4B0"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xml:space="preserve">         The three studies enabled me to learn the factors that affected CSR implementation in practicing firms. From Weiss’s article, we see that ethics plays a vital role in dictating how the implementation process is conducted. Without proper ethics, in play, a firm’s CSR initiatives end up being stalled or stopped altogether due to embezzlement and other unethical practices. Liu’s article shows that age diversity in a company’s management greatly affects CSR implementation. Therefore, firms need to neutralize the age gap between their directors if they’re CSR initiatives are to succeed. </w:t>
      </w:r>
      <w:proofErr w:type="spellStart"/>
      <w:r w:rsidRPr="00DE335F">
        <w:rPr>
          <w:rFonts w:ascii="Helvetica" w:eastAsia="Times New Roman" w:hAnsi="Helvetica" w:cs="Helvetica"/>
          <w:color w:val="2D3B45"/>
          <w:sz w:val="24"/>
          <w:szCs w:val="24"/>
        </w:rPr>
        <w:t>Fasoulis</w:t>
      </w:r>
      <w:proofErr w:type="spellEnd"/>
      <w:r w:rsidRPr="00DE335F">
        <w:rPr>
          <w:rFonts w:ascii="Helvetica" w:eastAsia="Times New Roman" w:hAnsi="Helvetica" w:cs="Helvetica"/>
          <w:color w:val="2D3B45"/>
          <w:sz w:val="24"/>
          <w:szCs w:val="24"/>
        </w:rPr>
        <w:t xml:space="preserve"> confirms that the major factors hindering CSR implementation are ethics, transparency, and efficiency. Stakeholder relationships, the company’s image and trust, services to increase employees’ motivation in implementing CSR. The working environment and compliance drive the implementation process, while safety was the least significant barrier to implementation.</w:t>
      </w:r>
    </w:p>
    <w:p w14:paraId="6E909887"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w:t>
      </w:r>
    </w:p>
    <w:p w14:paraId="3C387605"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w:t>
      </w:r>
    </w:p>
    <w:p w14:paraId="5D1464C6"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References</w:t>
      </w:r>
    </w:p>
    <w:p w14:paraId="726ADA4A"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proofErr w:type="spellStart"/>
      <w:r w:rsidRPr="00DE335F">
        <w:rPr>
          <w:rFonts w:ascii="Helvetica" w:eastAsia="Times New Roman" w:hAnsi="Helvetica" w:cs="Helvetica"/>
          <w:color w:val="2D3B45"/>
          <w:sz w:val="24"/>
          <w:szCs w:val="24"/>
        </w:rPr>
        <w:lastRenderedPageBreak/>
        <w:t>Fasoulis</w:t>
      </w:r>
      <w:proofErr w:type="spellEnd"/>
      <w:r w:rsidRPr="00DE335F">
        <w:rPr>
          <w:rFonts w:ascii="Helvetica" w:eastAsia="Times New Roman" w:hAnsi="Helvetica" w:cs="Helvetica"/>
          <w:color w:val="2D3B45"/>
          <w:sz w:val="24"/>
          <w:szCs w:val="24"/>
        </w:rPr>
        <w:t>, I., &amp; Kurt, R. E. (2019). Determinants to the implementation of corporate social responsibility in the maritime industry: a quantitative study. Journal of International Maritime Safety, Environmental Affairs, and Shipping, 3 (1-2), 10-20. https://www.tandfonline.com/doi/full/10.1080/25725084.2018.1563320</w:t>
      </w:r>
    </w:p>
    <w:p w14:paraId="08454B56" w14:textId="77777777" w:rsidR="00DE335F" w:rsidRPr="00DE335F" w:rsidRDefault="00DE335F" w:rsidP="00DE335F">
      <w:pPr>
        <w:shd w:val="clear" w:color="auto" w:fill="FFFFFF"/>
        <w:spacing w:before="180" w:after="18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 xml:space="preserve">Liu, P. and Zeng, R. (2017) Age Diversity and Corporate Social Responsibility—Evidence from Chinese Listed Firms. Open Journal of Social Sciences, 5, 1-8. </w:t>
      </w:r>
      <w:proofErr w:type="spellStart"/>
      <w:r w:rsidRPr="00DE335F">
        <w:rPr>
          <w:rFonts w:ascii="Helvetica" w:eastAsia="Times New Roman" w:hAnsi="Helvetica" w:cs="Helvetica"/>
          <w:color w:val="2D3B45"/>
          <w:sz w:val="24"/>
          <w:szCs w:val="24"/>
        </w:rPr>
        <w:t>doi</w:t>
      </w:r>
      <w:proofErr w:type="spellEnd"/>
      <w:r w:rsidRPr="00DE335F">
        <w:rPr>
          <w:rFonts w:ascii="Helvetica" w:eastAsia="Times New Roman" w:hAnsi="Helvetica" w:cs="Helvetica"/>
          <w:color w:val="2D3B45"/>
          <w:sz w:val="24"/>
          <w:szCs w:val="24"/>
        </w:rPr>
        <w:t>: 10.4236/jss.2017.54001. https://m.scirp.org/papers/75400</w:t>
      </w:r>
    </w:p>
    <w:p w14:paraId="6567DEDB" w14:textId="77777777" w:rsidR="00DE335F" w:rsidRPr="00DE335F" w:rsidRDefault="00DE335F" w:rsidP="00DE335F">
      <w:pPr>
        <w:shd w:val="clear" w:color="auto" w:fill="FFFFFF"/>
        <w:spacing w:before="180" w:after="0" w:line="240" w:lineRule="auto"/>
        <w:rPr>
          <w:rFonts w:ascii="Helvetica" w:eastAsia="Times New Roman" w:hAnsi="Helvetica" w:cs="Helvetica"/>
          <w:color w:val="2D3B45"/>
          <w:sz w:val="24"/>
          <w:szCs w:val="24"/>
        </w:rPr>
      </w:pPr>
      <w:r w:rsidRPr="00DE335F">
        <w:rPr>
          <w:rFonts w:ascii="Helvetica" w:eastAsia="Times New Roman" w:hAnsi="Helvetica" w:cs="Helvetica"/>
          <w:color w:val="2D3B45"/>
          <w:sz w:val="24"/>
          <w:szCs w:val="24"/>
        </w:rPr>
        <w:t>Weiss, J. (2017). Ethics and CSR research in top-ranked IS journals, 1980-2013: a developing trend or anomaly? https://www.researchgate.net/publication/317397394_Ethics_and_CSR_Research_in_Top_Ranked_IS_Journals_1980-2013_A_Developing_Trend_or_Anomaly</w:t>
      </w:r>
    </w:p>
    <w:p w14:paraId="36DF8A96" w14:textId="77777777" w:rsidR="00DE335F" w:rsidRDefault="00DE335F"/>
    <w:sectPr w:rsidR="00DE3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C6585"/>
    <w:multiLevelType w:val="multilevel"/>
    <w:tmpl w:val="B6D6E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1331D7"/>
    <w:multiLevelType w:val="multilevel"/>
    <w:tmpl w:val="62780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991EBA"/>
    <w:multiLevelType w:val="multilevel"/>
    <w:tmpl w:val="08CA8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625A1E"/>
    <w:multiLevelType w:val="multilevel"/>
    <w:tmpl w:val="DE72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35F"/>
    <w:rsid w:val="00822469"/>
    <w:rsid w:val="00DE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18252"/>
  <w15:chartTrackingRefBased/>
  <w15:docId w15:val="{E8B78F01-FDEB-469F-976B-0B9C40BF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465651">
      <w:bodyDiv w:val="1"/>
      <w:marLeft w:val="0"/>
      <w:marRight w:val="0"/>
      <w:marTop w:val="0"/>
      <w:marBottom w:val="0"/>
      <w:divBdr>
        <w:top w:val="none" w:sz="0" w:space="0" w:color="auto"/>
        <w:left w:val="none" w:sz="0" w:space="0" w:color="auto"/>
        <w:bottom w:val="none" w:sz="0" w:space="0" w:color="auto"/>
        <w:right w:val="none" w:sz="0" w:space="0" w:color="auto"/>
      </w:divBdr>
      <w:divsChild>
        <w:div w:id="634525212">
          <w:marLeft w:val="0"/>
          <w:marRight w:val="0"/>
          <w:marTop w:val="0"/>
          <w:marBottom w:val="0"/>
          <w:divBdr>
            <w:top w:val="none" w:sz="0" w:space="0" w:color="auto"/>
            <w:left w:val="none" w:sz="0" w:space="0" w:color="auto"/>
            <w:bottom w:val="none" w:sz="0" w:space="0" w:color="auto"/>
            <w:right w:val="none" w:sz="0" w:space="0" w:color="auto"/>
          </w:divBdr>
          <w:divsChild>
            <w:div w:id="79954195">
              <w:marLeft w:val="0"/>
              <w:marRight w:val="0"/>
              <w:marTop w:val="0"/>
              <w:marBottom w:val="0"/>
              <w:divBdr>
                <w:top w:val="none" w:sz="0" w:space="0" w:color="auto"/>
                <w:left w:val="none" w:sz="0" w:space="0" w:color="auto"/>
                <w:bottom w:val="none" w:sz="0" w:space="0" w:color="auto"/>
                <w:right w:val="none" w:sz="0" w:space="0" w:color="auto"/>
              </w:divBdr>
              <w:divsChild>
                <w:div w:id="1056703038">
                  <w:marLeft w:val="0"/>
                  <w:marRight w:val="0"/>
                  <w:marTop w:val="0"/>
                  <w:marBottom w:val="0"/>
                  <w:divBdr>
                    <w:top w:val="none" w:sz="0" w:space="0" w:color="auto"/>
                    <w:left w:val="none" w:sz="0" w:space="0" w:color="auto"/>
                    <w:bottom w:val="none" w:sz="0" w:space="0" w:color="auto"/>
                    <w:right w:val="none" w:sz="0" w:space="0" w:color="auto"/>
                  </w:divBdr>
                </w:div>
              </w:divsChild>
            </w:div>
            <w:div w:id="809178491">
              <w:marLeft w:val="0"/>
              <w:marRight w:val="0"/>
              <w:marTop w:val="0"/>
              <w:marBottom w:val="0"/>
              <w:divBdr>
                <w:top w:val="none" w:sz="0" w:space="0" w:color="auto"/>
                <w:left w:val="none" w:sz="0" w:space="0" w:color="auto"/>
                <w:bottom w:val="none" w:sz="0" w:space="0" w:color="auto"/>
                <w:right w:val="none" w:sz="0" w:space="0" w:color="auto"/>
              </w:divBdr>
            </w:div>
          </w:divsChild>
        </w:div>
        <w:div w:id="1243635604">
          <w:marLeft w:val="0"/>
          <w:marRight w:val="0"/>
          <w:marTop w:val="0"/>
          <w:marBottom w:val="0"/>
          <w:divBdr>
            <w:top w:val="none" w:sz="0" w:space="0" w:color="auto"/>
            <w:left w:val="none" w:sz="0" w:space="0" w:color="auto"/>
            <w:bottom w:val="none" w:sz="0" w:space="0" w:color="auto"/>
            <w:right w:val="none" w:sz="0" w:space="0" w:color="auto"/>
          </w:divBdr>
        </w:div>
      </w:divsChild>
    </w:div>
    <w:div w:id="2011830092">
      <w:bodyDiv w:val="1"/>
      <w:marLeft w:val="0"/>
      <w:marRight w:val="0"/>
      <w:marTop w:val="0"/>
      <w:marBottom w:val="0"/>
      <w:divBdr>
        <w:top w:val="none" w:sz="0" w:space="0" w:color="auto"/>
        <w:left w:val="none" w:sz="0" w:space="0" w:color="auto"/>
        <w:bottom w:val="none" w:sz="0" w:space="0" w:color="auto"/>
        <w:right w:val="none" w:sz="0" w:space="0" w:color="auto"/>
      </w:divBdr>
      <w:divsChild>
        <w:div w:id="1476414676">
          <w:marLeft w:val="0"/>
          <w:marRight w:val="0"/>
          <w:marTop w:val="0"/>
          <w:marBottom w:val="0"/>
          <w:divBdr>
            <w:top w:val="none" w:sz="0" w:space="0" w:color="auto"/>
            <w:left w:val="none" w:sz="0" w:space="0" w:color="auto"/>
            <w:bottom w:val="none" w:sz="0" w:space="0" w:color="auto"/>
            <w:right w:val="none" w:sz="0" w:space="0" w:color="auto"/>
          </w:divBdr>
          <w:divsChild>
            <w:div w:id="1602369301">
              <w:marLeft w:val="0"/>
              <w:marRight w:val="0"/>
              <w:marTop w:val="0"/>
              <w:marBottom w:val="0"/>
              <w:divBdr>
                <w:top w:val="none" w:sz="0" w:space="0" w:color="auto"/>
                <w:left w:val="none" w:sz="0" w:space="0" w:color="auto"/>
                <w:bottom w:val="none" w:sz="0" w:space="0" w:color="auto"/>
                <w:right w:val="none" w:sz="0" w:space="0" w:color="auto"/>
              </w:divBdr>
              <w:divsChild>
                <w:div w:id="1051542598">
                  <w:marLeft w:val="0"/>
                  <w:marRight w:val="0"/>
                  <w:marTop w:val="0"/>
                  <w:marBottom w:val="0"/>
                  <w:divBdr>
                    <w:top w:val="none" w:sz="0" w:space="0" w:color="auto"/>
                    <w:left w:val="none" w:sz="0" w:space="0" w:color="auto"/>
                    <w:bottom w:val="none" w:sz="0" w:space="0" w:color="auto"/>
                    <w:right w:val="none" w:sz="0" w:space="0" w:color="auto"/>
                  </w:divBdr>
                </w:div>
              </w:divsChild>
            </w:div>
            <w:div w:id="968244184">
              <w:marLeft w:val="0"/>
              <w:marRight w:val="0"/>
              <w:marTop w:val="0"/>
              <w:marBottom w:val="0"/>
              <w:divBdr>
                <w:top w:val="none" w:sz="0" w:space="0" w:color="auto"/>
                <w:left w:val="none" w:sz="0" w:space="0" w:color="auto"/>
                <w:bottom w:val="none" w:sz="0" w:space="0" w:color="auto"/>
                <w:right w:val="none" w:sz="0" w:space="0" w:color="auto"/>
              </w:divBdr>
            </w:div>
          </w:divsChild>
        </w:div>
        <w:div w:id="1384257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64357/users/2027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proxy-library.ashford.edu/10.2307/1143794" TargetMode="External"/><Relationship Id="rId5" Type="http://schemas.openxmlformats.org/officeDocument/2006/relationships/hyperlink" Target="https://doi-org.proxy-library.ashford.edu/10.2307/114379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1488</Words>
  <Characters>8486</Characters>
  <Application>Microsoft Office Word</Application>
  <DocSecurity>0</DocSecurity>
  <Lines>70</Lines>
  <Paragraphs>19</Paragraphs>
  <ScaleCrop>false</ScaleCrop>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2020-05-07T18:47:00Z</dcterms:created>
  <dcterms:modified xsi:type="dcterms:W3CDTF">2020-05-07T18:50:00Z</dcterms:modified>
</cp:coreProperties>
</file>