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17D30" w14:textId="77777777" w:rsid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Pr>
          <w:rFonts w:ascii="Helvetica" w:eastAsia="Times New Roman" w:hAnsi="Helvetica" w:cs="Helvetica"/>
          <w:color w:val="3D494C"/>
          <w:sz w:val="24"/>
          <w:szCs w:val="24"/>
        </w:rPr>
        <w:t>Erica Sampson</w:t>
      </w:r>
    </w:p>
    <w:p w14:paraId="48A04DDD" w14:textId="07B871C6" w:rsidR="001D0178" w:rsidRP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Business agility is essential when it comes to the complex business world. "Agility is vital to the innovation and competitive performance of firms in contemporary business environments" (</w:t>
      </w:r>
      <w:proofErr w:type="spellStart"/>
      <w:r w:rsidRPr="001D0178">
        <w:rPr>
          <w:rFonts w:ascii="Helvetica" w:eastAsia="Times New Roman" w:hAnsi="Helvetica" w:cs="Helvetica"/>
          <w:color w:val="3D494C"/>
          <w:sz w:val="24"/>
          <w:szCs w:val="24"/>
        </w:rPr>
        <w:t>Sambamurthy</w:t>
      </w:r>
      <w:proofErr w:type="spellEnd"/>
      <w:r w:rsidRPr="001D0178">
        <w:rPr>
          <w:rFonts w:ascii="Helvetica" w:eastAsia="Times New Roman" w:hAnsi="Helvetica" w:cs="Helvetica"/>
          <w:color w:val="3D494C"/>
          <w:sz w:val="24"/>
          <w:szCs w:val="24"/>
        </w:rPr>
        <w:t>, 2003, p. 2). The business may choose to lean on different models that can help them progress and operate their company. The hierarchical structure allows the top person to make a game plan and spreads it to the right people who will help turn it into action. "A hierarchical structure has more levels and greater differences between them" (Brown, 1999, p. 2). Having different teams within the organization helps with communicating the different approaches needed to get the desired outcome. A company's selected organizational models can help them renew, adapt, and make changes when needed. Also, establishing the structure of the company helps build upon stability and agility.</w:t>
      </w:r>
    </w:p>
    <w:p w14:paraId="48D7E25D" w14:textId="77777777" w:rsidR="001D0178" w:rsidRP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Another organizational model is the Flat structure, which eliminates middle management. One person establishes the game plan and gets a second opinion by consulting the informal system before making the final decision. "A flatter organizational structure could mitigate, or even enhance in some substantive way" (</w:t>
      </w:r>
      <w:proofErr w:type="spellStart"/>
      <w:r w:rsidRPr="001D0178">
        <w:rPr>
          <w:rFonts w:ascii="Helvetica" w:eastAsia="Times New Roman" w:hAnsi="Helvetica" w:cs="Helvetica"/>
          <w:color w:val="3D494C"/>
          <w:sz w:val="24"/>
          <w:szCs w:val="24"/>
        </w:rPr>
        <w:t>Brazeal</w:t>
      </w:r>
      <w:proofErr w:type="spellEnd"/>
      <w:r w:rsidRPr="001D0178">
        <w:rPr>
          <w:rFonts w:ascii="Helvetica" w:eastAsia="Times New Roman" w:hAnsi="Helvetica" w:cs="Helvetica"/>
          <w:color w:val="3D494C"/>
          <w:sz w:val="24"/>
          <w:szCs w:val="24"/>
        </w:rPr>
        <w:t>, 2014, p. 2). This will help with the survival and strategic success of the organization. Also, this model, like others, can respond to the changes within the surrounding environment. Organizational models help create the company's agility with different opportunities that allow them to grow and learn. Along the way, they may gain insight into other areas they may not be aware of. As market changes transpire, the company's agility will determine its competitiveness and its use of innovation. When pressure is being applied to the organizational structure, the models help ensure the company doesn't fall apart into pieces. The established system is put into place to embrace new challenges and opportunities without disrupting the daily ongoing tasks. </w:t>
      </w:r>
    </w:p>
    <w:p w14:paraId="1D13E3C7" w14:textId="77777777" w:rsidR="001D0178" w:rsidRP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 </w:t>
      </w:r>
    </w:p>
    <w:p w14:paraId="1F16028A" w14:textId="77777777" w:rsidR="001D0178" w:rsidRPr="001D0178" w:rsidRDefault="001D0178" w:rsidP="001D0178">
      <w:pPr>
        <w:shd w:val="clear" w:color="auto" w:fill="FFFFFF"/>
        <w:spacing w:before="180" w:after="18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References</w:t>
      </w:r>
    </w:p>
    <w:p w14:paraId="2A6C3948"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proofErr w:type="spellStart"/>
      <w:r w:rsidRPr="001D0178">
        <w:rPr>
          <w:rFonts w:ascii="Helvetica" w:eastAsia="Times New Roman" w:hAnsi="Helvetica" w:cs="Helvetica"/>
          <w:color w:val="3D494C"/>
          <w:sz w:val="24"/>
          <w:szCs w:val="24"/>
        </w:rPr>
        <w:t>Brazeal</w:t>
      </w:r>
      <w:proofErr w:type="spellEnd"/>
      <w:r w:rsidRPr="001D0178">
        <w:rPr>
          <w:rFonts w:ascii="Helvetica" w:eastAsia="Times New Roman" w:hAnsi="Helvetica" w:cs="Helvetica"/>
          <w:color w:val="3D494C"/>
          <w:sz w:val="24"/>
          <w:szCs w:val="24"/>
        </w:rPr>
        <w:t>, D. V., Schenkel, M. T., &amp; Kumar, S. (2014). Beyond the organizational bounds in CE research: Exploring personal and relational factors in a flat organizational structure.</w:t>
      </w:r>
      <w:r w:rsidRPr="001D0178">
        <w:rPr>
          <w:rFonts w:ascii="Helvetica" w:eastAsia="Times New Roman" w:hAnsi="Helvetica" w:cs="Helvetica"/>
          <w:i/>
          <w:iCs/>
          <w:color w:val="3D494C"/>
          <w:sz w:val="24"/>
          <w:szCs w:val="24"/>
        </w:rPr>
        <w:t> Journal of Applied Management and Entrepreneurship, 19</w:t>
      </w:r>
      <w:r w:rsidRPr="001D0178">
        <w:rPr>
          <w:rFonts w:ascii="Helvetica" w:eastAsia="Times New Roman" w:hAnsi="Helvetica" w:cs="Helvetica"/>
          <w:color w:val="3D494C"/>
          <w:sz w:val="24"/>
          <w:szCs w:val="24"/>
        </w:rPr>
        <w:t>(2), 78-106. Retrieved from https://search-proquest-com.proxy-library.ashford.edu/scholarly-journals/beyond-organizational-bounds-ce-research/docview/1543780446/se-2?accountid=32521</w:t>
      </w:r>
    </w:p>
    <w:p w14:paraId="14DE4E22"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 </w:t>
      </w:r>
    </w:p>
    <w:p w14:paraId="2F683310"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 xml:space="preserve">Brown, M. (1999). Does pay structure </w:t>
      </w:r>
      <w:proofErr w:type="gramStart"/>
      <w:r w:rsidRPr="001D0178">
        <w:rPr>
          <w:rFonts w:ascii="Helvetica" w:eastAsia="Times New Roman" w:hAnsi="Helvetica" w:cs="Helvetica"/>
          <w:color w:val="3D494C"/>
          <w:sz w:val="24"/>
          <w:szCs w:val="24"/>
        </w:rPr>
        <w:t>matter?:</w:t>
      </w:r>
      <w:proofErr w:type="gramEnd"/>
      <w:r w:rsidRPr="001D0178">
        <w:rPr>
          <w:rFonts w:ascii="Helvetica" w:eastAsia="Times New Roman" w:hAnsi="Helvetica" w:cs="Helvetica"/>
          <w:color w:val="3D494C"/>
          <w:sz w:val="24"/>
          <w:szCs w:val="24"/>
        </w:rPr>
        <w:t xml:space="preserve"> A comparison of a flat and hierarchical pay structure.</w:t>
      </w:r>
      <w:r w:rsidRPr="001D0178">
        <w:rPr>
          <w:rFonts w:ascii="Helvetica" w:eastAsia="Times New Roman" w:hAnsi="Helvetica" w:cs="Helvetica"/>
          <w:i/>
          <w:iCs/>
          <w:color w:val="3D494C"/>
          <w:sz w:val="24"/>
          <w:szCs w:val="24"/>
        </w:rPr>
        <w:t> ACA Journal, 8</w:t>
      </w:r>
      <w:r w:rsidRPr="001D0178">
        <w:rPr>
          <w:rFonts w:ascii="Helvetica" w:eastAsia="Times New Roman" w:hAnsi="Helvetica" w:cs="Helvetica"/>
          <w:color w:val="3D494C"/>
          <w:sz w:val="24"/>
          <w:szCs w:val="24"/>
        </w:rPr>
        <w:t>(2), 64-70. Retrieved from https://search-proquest-com.proxy-library.ashford.edu/scholarly-journals/does-pay-structure-matter-comparison-flat/docview/216358578/se-2?accountid=32521</w:t>
      </w:r>
    </w:p>
    <w:p w14:paraId="4B7BB5F1"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r w:rsidRPr="001D0178">
        <w:rPr>
          <w:rFonts w:ascii="Helvetica" w:eastAsia="Times New Roman" w:hAnsi="Helvetica" w:cs="Helvetica"/>
          <w:color w:val="3D494C"/>
          <w:sz w:val="24"/>
          <w:szCs w:val="24"/>
        </w:rPr>
        <w:t> </w:t>
      </w:r>
    </w:p>
    <w:p w14:paraId="63FFC32D" w14:textId="77777777" w:rsidR="001D0178" w:rsidRPr="001D0178" w:rsidRDefault="001D0178" w:rsidP="001D0178">
      <w:pPr>
        <w:shd w:val="clear" w:color="auto" w:fill="FFFFFF"/>
        <w:spacing w:after="0" w:line="240" w:lineRule="auto"/>
        <w:rPr>
          <w:rFonts w:ascii="Helvetica" w:eastAsia="Times New Roman" w:hAnsi="Helvetica" w:cs="Helvetica"/>
          <w:color w:val="3D494C"/>
          <w:sz w:val="24"/>
          <w:szCs w:val="24"/>
        </w:rPr>
      </w:pPr>
      <w:proofErr w:type="spellStart"/>
      <w:r w:rsidRPr="001D0178">
        <w:rPr>
          <w:rFonts w:ascii="Helvetica" w:eastAsia="Times New Roman" w:hAnsi="Helvetica" w:cs="Helvetica"/>
          <w:color w:val="3D494C"/>
          <w:sz w:val="24"/>
          <w:szCs w:val="24"/>
        </w:rPr>
        <w:t>Sambamurthy</w:t>
      </w:r>
      <w:proofErr w:type="spellEnd"/>
      <w:r w:rsidRPr="001D0178">
        <w:rPr>
          <w:rFonts w:ascii="Helvetica" w:eastAsia="Times New Roman" w:hAnsi="Helvetica" w:cs="Helvetica"/>
          <w:color w:val="3D494C"/>
          <w:sz w:val="24"/>
          <w:szCs w:val="24"/>
        </w:rPr>
        <w:t xml:space="preserve">, V., </w:t>
      </w:r>
      <w:proofErr w:type="spellStart"/>
      <w:r w:rsidRPr="001D0178">
        <w:rPr>
          <w:rFonts w:ascii="Helvetica" w:eastAsia="Times New Roman" w:hAnsi="Helvetica" w:cs="Helvetica"/>
          <w:color w:val="3D494C"/>
          <w:sz w:val="24"/>
          <w:szCs w:val="24"/>
        </w:rPr>
        <w:t>Anandhi</w:t>
      </w:r>
      <w:proofErr w:type="spellEnd"/>
      <w:r w:rsidRPr="001D0178">
        <w:rPr>
          <w:rFonts w:ascii="Helvetica" w:eastAsia="Times New Roman" w:hAnsi="Helvetica" w:cs="Helvetica"/>
          <w:color w:val="3D494C"/>
          <w:sz w:val="24"/>
          <w:szCs w:val="24"/>
        </w:rPr>
        <w:t xml:space="preserve">, B., &amp; Varun, </w:t>
      </w:r>
      <w:proofErr w:type="gramStart"/>
      <w:r w:rsidRPr="001D0178">
        <w:rPr>
          <w:rFonts w:ascii="Helvetica" w:eastAsia="Times New Roman" w:hAnsi="Helvetica" w:cs="Helvetica"/>
          <w:color w:val="3D494C"/>
          <w:sz w:val="24"/>
          <w:szCs w:val="24"/>
        </w:rPr>
        <w:t>G.(</w:t>
      </w:r>
      <w:proofErr w:type="gramEnd"/>
      <w:r w:rsidRPr="001D0178">
        <w:rPr>
          <w:rFonts w:ascii="Helvetica" w:eastAsia="Times New Roman" w:hAnsi="Helvetica" w:cs="Helvetica"/>
          <w:color w:val="3D494C"/>
          <w:sz w:val="24"/>
          <w:szCs w:val="24"/>
        </w:rPr>
        <w:t>2003). Shaping agility through digital options: Reconceptualizing the role of information technology in contemporary firms. MIS Quarterly, 27(2), 237–63.</w:t>
      </w:r>
    </w:p>
    <w:p w14:paraId="458AE40E"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78"/>
    <w:rsid w:val="001D0178"/>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48F1"/>
  <w15:chartTrackingRefBased/>
  <w15:docId w15:val="{2071ADED-CC0E-4C9F-92F3-D3A2EB3C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4888821">
      <w:bodyDiv w:val="1"/>
      <w:marLeft w:val="0"/>
      <w:marRight w:val="0"/>
      <w:marTop w:val="0"/>
      <w:marBottom w:val="0"/>
      <w:divBdr>
        <w:top w:val="none" w:sz="0" w:space="0" w:color="auto"/>
        <w:left w:val="none" w:sz="0" w:space="0" w:color="auto"/>
        <w:bottom w:val="none" w:sz="0" w:space="0" w:color="auto"/>
        <w:right w:val="none" w:sz="0" w:space="0" w:color="auto"/>
      </w:divBdr>
      <w:divsChild>
        <w:div w:id="1271091110">
          <w:marLeft w:val="0"/>
          <w:marRight w:val="0"/>
          <w:marTop w:val="0"/>
          <w:marBottom w:val="0"/>
          <w:divBdr>
            <w:top w:val="none" w:sz="0" w:space="0" w:color="auto"/>
            <w:left w:val="none" w:sz="0" w:space="0" w:color="auto"/>
            <w:bottom w:val="none" w:sz="0" w:space="0" w:color="auto"/>
            <w:right w:val="none" w:sz="0" w:space="0" w:color="auto"/>
          </w:divBdr>
          <w:divsChild>
            <w:div w:id="248201838">
              <w:marLeft w:val="0"/>
              <w:marRight w:val="0"/>
              <w:marTop w:val="0"/>
              <w:marBottom w:val="0"/>
              <w:divBdr>
                <w:top w:val="none" w:sz="0" w:space="0" w:color="auto"/>
                <w:left w:val="none" w:sz="0" w:space="0" w:color="auto"/>
                <w:bottom w:val="none" w:sz="0" w:space="0" w:color="auto"/>
                <w:right w:val="none" w:sz="0" w:space="0" w:color="auto"/>
              </w:divBdr>
            </w:div>
            <w:div w:id="316425446">
              <w:marLeft w:val="0"/>
              <w:marRight w:val="0"/>
              <w:marTop w:val="0"/>
              <w:marBottom w:val="0"/>
              <w:divBdr>
                <w:top w:val="none" w:sz="0" w:space="0" w:color="auto"/>
                <w:left w:val="none" w:sz="0" w:space="0" w:color="auto"/>
                <w:bottom w:val="none" w:sz="0" w:space="0" w:color="auto"/>
                <w:right w:val="none" w:sz="0" w:space="0" w:color="auto"/>
              </w:divBdr>
            </w:div>
            <w:div w:id="1053118350">
              <w:marLeft w:val="0"/>
              <w:marRight w:val="0"/>
              <w:marTop w:val="0"/>
              <w:marBottom w:val="0"/>
              <w:divBdr>
                <w:top w:val="none" w:sz="0" w:space="0" w:color="auto"/>
                <w:left w:val="none" w:sz="0" w:space="0" w:color="auto"/>
                <w:bottom w:val="none" w:sz="0" w:space="0" w:color="auto"/>
                <w:right w:val="none" w:sz="0" w:space="0" w:color="auto"/>
              </w:divBdr>
            </w:div>
            <w:div w:id="519128440">
              <w:marLeft w:val="0"/>
              <w:marRight w:val="0"/>
              <w:marTop w:val="0"/>
              <w:marBottom w:val="0"/>
              <w:divBdr>
                <w:top w:val="none" w:sz="0" w:space="0" w:color="auto"/>
                <w:left w:val="none" w:sz="0" w:space="0" w:color="auto"/>
                <w:bottom w:val="none" w:sz="0" w:space="0" w:color="auto"/>
                <w:right w:val="none" w:sz="0" w:space="0" w:color="auto"/>
              </w:divBdr>
            </w:div>
            <w:div w:id="93429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2469</Characters>
  <Application>Microsoft Office Word</Application>
  <DocSecurity>0</DocSecurity>
  <Lines>20</Lines>
  <Paragraphs>5</Paragraphs>
  <ScaleCrop>false</ScaleCrop>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2021-01-22T15:56:00Z</dcterms:created>
  <dcterms:modified xsi:type="dcterms:W3CDTF">2021-01-22T15:57:00Z</dcterms:modified>
</cp:coreProperties>
</file>