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D349F" w14:textId="5E56F604" w:rsidR="00822469" w:rsidRDefault="00405D71">
      <w:r>
        <w:t>Erick</w:t>
      </w:r>
    </w:p>
    <w:p w14:paraId="5CF641E4" w14:textId="77777777" w:rsidR="00405D71" w:rsidRDefault="00405D71" w:rsidP="00405D71">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According to Wayne J. Camara (1997), any professional conduct and all responsibilities in use of assessments should be ordered within three issues the legal, ethical, and professional issues (Camara, 1997). By the age of 21, as Americans, we have had many dealings with using assessments. They have played a huge part in our high school graduation, job promotions and retention. As the days go on, people mature, and new technology and knowledge is gained by building on known information. It is not easy to weed out those that you feel are not worthy for an organization. Every company and each department have created its own way of weeding out those that do not fit into the culture of the department or group. This can make it difficult to identify and develop the talent for future needs and goals any organization. The changing culture, according to Davis and </w:t>
      </w:r>
      <w:proofErr w:type="spellStart"/>
      <w:r>
        <w:rPr>
          <w:rFonts w:ascii="Helvetica" w:hAnsi="Helvetica" w:cs="Helvetica"/>
          <w:color w:val="3D494C"/>
        </w:rPr>
        <w:t>Silzer</w:t>
      </w:r>
      <w:proofErr w:type="spellEnd"/>
      <w:r>
        <w:rPr>
          <w:rFonts w:ascii="Helvetica" w:hAnsi="Helvetica" w:cs="Helvetica"/>
          <w:color w:val="3D494C"/>
        </w:rPr>
        <w:t>, is important to look at for future needs of the company and to be able to acknowledge that the future objectives may not be clear. The authors went on and stated that each skill and abilities that are needed and wanted for future achievements and possible new objectives are difficult to clearly identify and define. They also noted that the individuals who have the most potential to develop those skills and abilities in the future are hard to identify accurately (</w:t>
      </w:r>
      <w:proofErr w:type="spellStart"/>
      <w:r>
        <w:rPr>
          <w:rFonts w:ascii="Helvetica" w:hAnsi="Helvetica" w:cs="Helvetica"/>
          <w:color w:val="3D494C"/>
        </w:rPr>
        <w:t>Silzer</w:t>
      </w:r>
      <w:proofErr w:type="spellEnd"/>
      <w:r>
        <w:rPr>
          <w:rFonts w:ascii="Helvetica" w:hAnsi="Helvetica" w:cs="Helvetica"/>
          <w:color w:val="3D494C"/>
        </w:rPr>
        <w:t>, 2010).</w:t>
      </w:r>
    </w:p>
    <w:p w14:paraId="6E4AA14A" w14:textId="77777777" w:rsidR="00405D71" w:rsidRDefault="00405D71" w:rsidP="00405D71">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There are two questions that leaders that are trying to find potential in employees need to ask. First, are the persons potential unflappable and second, is what is the clear and concise definition of the word “potential” that a manager or leader should use to discuss possible for future leaders, and workers.</w:t>
      </w:r>
    </w:p>
    <w:p w14:paraId="401A8F71" w14:textId="77777777" w:rsidR="00405D71" w:rsidRDefault="00405D71" w:rsidP="00405D71">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One of the problems that many in leadership positions have been that they are not able to create a valid and reliable assessments for on-the-job performance across their organization. This is to say, many lack inclusiveness in its organizations that could help get people more motivated for career growth within its organization. And every person that gives assessments tends to fall victim to being subjective with their thoughts, and their personal feelings towards the people that they are assessing does cloud judgments. This usually results in impaired, inaccurate and unreliable results. Another issue is that they could use force ranking, calibration meetings, or capped compensation models, which fail to give true insight into potential (Camara, 1997). Another issue managers might be neglectful in is not correctly assessing the performance frequently, which results in not being able to effectively predict potential (Camara, 1997). In summary, when measuring potential, it’s important to define what “potential” means for your organization and ensure synergy between an individual’s skills, talents, and attributes and the company’s requirements.</w:t>
      </w:r>
    </w:p>
    <w:p w14:paraId="55FDA9C2" w14:textId="77777777" w:rsidR="00405D71" w:rsidRDefault="00405D71" w:rsidP="00405D71">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Resources</w:t>
      </w:r>
    </w:p>
    <w:p w14:paraId="7F664ACB" w14:textId="77777777" w:rsidR="00405D71" w:rsidRDefault="00405D71" w:rsidP="00405D71">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Wayne J. Camara (1997). Use and Consequences of Assessments in the USA: Professional, Ethical and Legal Issues </w:t>
      </w:r>
      <w:proofErr w:type="gramStart"/>
      <w:r>
        <w:rPr>
          <w:rFonts w:ascii="Helvetica" w:hAnsi="Helvetica" w:cs="Helvetica"/>
          <w:color w:val="3D494C"/>
        </w:rPr>
        <w:t>The</w:t>
      </w:r>
      <w:proofErr w:type="gramEnd"/>
      <w:r>
        <w:rPr>
          <w:rFonts w:ascii="Helvetica" w:hAnsi="Helvetica" w:cs="Helvetica"/>
          <w:color w:val="3D494C"/>
        </w:rPr>
        <w:t xml:space="preserve"> College Board, Princeton Junction NJ, USA. European Journal of Psychological Assessment. </w:t>
      </w:r>
      <w:proofErr w:type="spellStart"/>
      <w:r>
        <w:rPr>
          <w:rFonts w:ascii="Helvetica" w:hAnsi="Helvetica" w:cs="Helvetica"/>
          <w:color w:val="3D494C"/>
        </w:rPr>
        <w:t>Hogrefe</w:t>
      </w:r>
      <w:proofErr w:type="spellEnd"/>
      <w:r>
        <w:rPr>
          <w:rFonts w:ascii="Helvetica" w:hAnsi="Helvetica" w:cs="Helvetica"/>
          <w:color w:val="3D494C"/>
        </w:rPr>
        <w:t xml:space="preserve"> &amp; Huber Publisher</w:t>
      </w:r>
    </w:p>
    <w:p w14:paraId="12504D5A" w14:textId="77777777" w:rsidR="00405D71" w:rsidRDefault="00405D71" w:rsidP="00405D71">
      <w:pPr>
        <w:pStyle w:val="NormalWeb"/>
        <w:shd w:val="clear" w:color="auto" w:fill="FFFFFF"/>
        <w:spacing w:before="180" w:beforeAutospacing="0" w:after="0" w:afterAutospacing="0"/>
        <w:rPr>
          <w:rFonts w:ascii="Helvetica" w:hAnsi="Helvetica" w:cs="Helvetica"/>
          <w:color w:val="3D494C"/>
        </w:rPr>
      </w:pPr>
      <w:proofErr w:type="spellStart"/>
      <w:r>
        <w:rPr>
          <w:rFonts w:ascii="Helvetica" w:hAnsi="Helvetica" w:cs="Helvetica"/>
          <w:color w:val="3D494C"/>
        </w:rPr>
        <w:t>Silzer</w:t>
      </w:r>
      <w:proofErr w:type="spellEnd"/>
      <w:r>
        <w:rPr>
          <w:rFonts w:ascii="Helvetica" w:hAnsi="Helvetica" w:cs="Helvetica"/>
          <w:color w:val="3D494C"/>
        </w:rPr>
        <w:t>, R. F., &amp; Davis, S.L. (2010). assessing the Potential of Individuals: The Prediction of Future Behavior. Retrieved from </w:t>
      </w:r>
      <w:r>
        <w:rPr>
          <w:rStyle w:val="Emphasis"/>
          <w:rFonts w:ascii="Helvetica" w:hAnsi="Helvetica" w:cs="Helvetica"/>
          <w:color w:val="3D494C"/>
        </w:rPr>
        <w:t>Handbook of workplace assessment</w:t>
      </w:r>
      <w:r>
        <w:rPr>
          <w:rFonts w:ascii="Helvetica" w:hAnsi="Helvetica" w:cs="Helvetica"/>
          <w:color w:val="3D494C"/>
        </w:rPr>
        <w:t> digital resource https://redshelf.com</w:t>
      </w:r>
    </w:p>
    <w:p w14:paraId="2DB4360F" w14:textId="77777777" w:rsidR="00405D71" w:rsidRDefault="00405D71" w:rsidP="00405D71">
      <w:pPr>
        <w:pStyle w:val="NormalWeb"/>
        <w:shd w:val="clear" w:color="auto" w:fill="FFFFFF"/>
        <w:spacing w:before="180" w:beforeAutospacing="0" w:after="0" w:afterAutospacing="0"/>
        <w:rPr>
          <w:rFonts w:ascii="Helvetica" w:hAnsi="Helvetica" w:cs="Helvetica"/>
          <w:color w:val="3D494C"/>
        </w:rPr>
      </w:pPr>
      <w:proofErr w:type="spellStart"/>
      <w:r>
        <w:rPr>
          <w:rFonts w:ascii="Helvetica" w:hAnsi="Helvetica" w:cs="Helvetica"/>
          <w:color w:val="3D494C"/>
        </w:rPr>
        <w:lastRenderedPageBreak/>
        <w:t>Silzer</w:t>
      </w:r>
      <w:proofErr w:type="spellEnd"/>
      <w:r>
        <w:rPr>
          <w:rFonts w:ascii="Helvetica" w:hAnsi="Helvetica" w:cs="Helvetica"/>
          <w:color w:val="3D494C"/>
        </w:rPr>
        <w:t>, R. F., &amp; Church, A. H. (2009). The pearls and perils of identifying potential. </w:t>
      </w:r>
      <w:r>
        <w:rPr>
          <w:rStyle w:val="Emphasis"/>
          <w:rFonts w:ascii="Helvetica" w:hAnsi="Helvetica" w:cs="Helvetica"/>
          <w:color w:val="3D494C"/>
        </w:rPr>
        <w:t>Industrial and Organizational Psychology: Perspectives on Science and Practice, 2</w:t>
      </w:r>
      <w:r>
        <w:rPr>
          <w:rFonts w:ascii="Helvetica" w:hAnsi="Helvetica" w:cs="Helvetica"/>
          <w:color w:val="3D494C"/>
        </w:rPr>
        <w:t>(4), 377-412.</w:t>
      </w:r>
      <w:r>
        <w:rPr>
          <w:rStyle w:val="Emphasis"/>
          <w:rFonts w:ascii="Helvetica" w:hAnsi="Helvetica" w:cs="Helvetica"/>
          <w:color w:val="3D494C"/>
        </w:rPr>
        <w:t>Digital Resource:</w:t>
      </w:r>
      <w:r>
        <w:rPr>
          <w:rFonts w:ascii="Helvetica" w:hAnsi="Helvetica" w:cs="Helvetica"/>
          <w:color w:val="3D494C"/>
        </w:rPr>
        <w:t> Scott, J. C. &amp; Reynolds, D. H. (Eds.). (2010). </w:t>
      </w:r>
      <w:r>
        <w:rPr>
          <w:rStyle w:val="Emphasis"/>
          <w:rFonts w:ascii="Helvetica" w:hAnsi="Helvetica" w:cs="Helvetica"/>
          <w:color w:val="3D494C"/>
        </w:rPr>
        <w:t>Handbook of workplace assessment</w:t>
      </w:r>
      <w:r>
        <w:rPr>
          <w:rFonts w:ascii="Helvetica" w:hAnsi="Helvetica" w:cs="Helvetica"/>
          <w:color w:val="3D494C"/>
        </w:rPr>
        <w:t>. Retrieved from https://redshelf.com</w:t>
      </w:r>
    </w:p>
    <w:p w14:paraId="4928F076" w14:textId="758AB869" w:rsidR="00405D71" w:rsidRDefault="00405D71"/>
    <w:p w14:paraId="65D1819D" w14:textId="5CD5B306" w:rsidR="00405D71" w:rsidRDefault="00405D71">
      <w:r>
        <w:t>Veronica</w:t>
      </w:r>
    </w:p>
    <w:p w14:paraId="238DC54B" w14:textId="77777777" w:rsidR="00405D71" w:rsidRDefault="00405D71" w:rsidP="00405D71">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When using an assessment to identify high potential individuals, organizations are looking to find a person who has the greatest potential that is beneficial to the future of the organization's success (Scott, Reynolds, 2010).  There are elements employees have that add to the success of an organization.  They are looking at the potential and talent of each person.  It is looked at as something that can either be developed or already have an existing talent or skills.  Some are looking at potential factors such as cognitive skills and personality, motivation, and learning variables, leadership skills, and performance (Scott, &amp; Reynolds, 2010). They are important factors to know and be able to utilize.  </w:t>
      </w:r>
    </w:p>
    <w:p w14:paraId="10D6A697" w14:textId="77777777" w:rsidR="00405D71" w:rsidRDefault="00405D71" w:rsidP="00405D71">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When looking at past performance, or even trying to predict future success using an assessment, this can help identify existing skills that can be an aid in developing skills for the future. It takes years to develop a prediction of growth and development within an individual.  The challenge could be their skills and abilities.  Those in leadership roles require more cognitive ability. In some cases, without an assessment, you can overlook a person’s potential or hidden potential.  Having something like a pre-employment assessment provided an insight look to a potential candidate.  This measure gauges their skill level and if they understand the complexity within the workplace and circumstances (Mulvey, 2021). This can also be a challenge with foundational and career dimensions in having elements to understand how to move forward.  This type of measure can help with the predictability of future changes.  </w:t>
      </w:r>
      <w:proofErr w:type="spellStart"/>
      <w:r>
        <w:rPr>
          <w:rFonts w:ascii="Helvetica" w:hAnsi="Helvetica" w:cs="Helvetica"/>
          <w:color w:val="3D494C"/>
        </w:rPr>
        <w:t>Silzer</w:t>
      </w:r>
      <w:proofErr w:type="spellEnd"/>
      <w:r>
        <w:rPr>
          <w:rFonts w:ascii="Helvetica" w:hAnsi="Helvetica" w:cs="Helvetica"/>
          <w:color w:val="3D494C"/>
        </w:rPr>
        <w:t xml:space="preserve"> and Davis caution ambiguity and complexity (Scott, &amp; Reynolds, 2010).    </w:t>
      </w:r>
    </w:p>
    <w:p w14:paraId="15C1A841" w14:textId="77777777" w:rsidR="00405D71" w:rsidRDefault="00405D71" w:rsidP="00405D71">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  </w:t>
      </w:r>
    </w:p>
    <w:p w14:paraId="41607E56" w14:textId="77777777" w:rsidR="00405D71" w:rsidRDefault="00405D71" w:rsidP="00405D71">
      <w:pPr>
        <w:pStyle w:val="NormalWeb"/>
        <w:shd w:val="clear" w:color="auto" w:fill="FFFFFF"/>
        <w:spacing w:before="0" w:beforeAutospacing="0" w:after="0" w:afterAutospacing="0"/>
        <w:rPr>
          <w:rFonts w:ascii="Helvetica" w:hAnsi="Helvetica" w:cs="Helvetica"/>
          <w:color w:val="3D494C"/>
        </w:rPr>
      </w:pPr>
      <w:r>
        <w:rPr>
          <w:rFonts w:ascii="Helvetica" w:hAnsi="Helvetica" w:cs="Helvetica"/>
          <w:color w:val="3D494C"/>
        </w:rPr>
        <w:t>Scott, J. C. &amp; Reynolds, D. H. (Eds.). (2010). </w:t>
      </w:r>
      <w:r>
        <w:rPr>
          <w:rFonts w:ascii="Helvetica" w:hAnsi="Helvetica" w:cs="Helvetica"/>
          <w:i/>
          <w:iCs/>
          <w:color w:val="3D494C"/>
        </w:rPr>
        <w:t>Handbook of workplace assessment</w:t>
      </w:r>
      <w:r>
        <w:rPr>
          <w:rFonts w:ascii="Helvetica" w:hAnsi="Helvetica" w:cs="Helvetica"/>
          <w:color w:val="3D494C"/>
        </w:rPr>
        <w:t>. Retrieved from </w:t>
      </w:r>
      <w:hyperlink r:id="rId4" w:tgtFrame="_blank" w:history="1">
        <w:r>
          <w:rPr>
            <w:rStyle w:val="Hyperlink"/>
            <w:rFonts w:ascii="Helvetica" w:hAnsi="Helvetica" w:cs="Helvetica"/>
          </w:rPr>
          <w:t>https://redshelf.com</w:t>
        </w:r>
        <w:r>
          <w:rPr>
            <w:rStyle w:val="screenreader-only"/>
            <w:rFonts w:ascii="Helvetica" w:hAnsi="Helvetica" w:cs="Helvetica"/>
            <w:color w:val="0000FF"/>
            <w:u w:val="single"/>
            <w:bdr w:val="none" w:sz="0" w:space="0" w:color="auto" w:frame="1"/>
          </w:rPr>
          <w:t> (Links to an external site.)</w:t>
        </w:r>
      </w:hyperlink>
      <w:r>
        <w:rPr>
          <w:rFonts w:ascii="Helvetica" w:hAnsi="Helvetica" w:cs="Helvetica"/>
          <w:color w:val="3D494C"/>
        </w:rPr>
        <w:t> </w:t>
      </w:r>
    </w:p>
    <w:p w14:paraId="2DDB6FFA" w14:textId="77777777" w:rsidR="00405D71" w:rsidRDefault="00405D71" w:rsidP="00405D71">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Mulvey, S. (2021) How to predict job success, </w:t>
      </w:r>
      <w:r>
        <w:rPr>
          <w:rFonts w:ascii="Helvetica" w:hAnsi="Helvetica" w:cs="Helvetica"/>
          <w:i/>
          <w:iCs/>
          <w:color w:val="3D494C"/>
        </w:rPr>
        <w:t>The Predictive Index, https://www.predictiveindex.com/blog/how-to-predict-job-success/</w:t>
      </w:r>
      <w:r>
        <w:rPr>
          <w:rFonts w:ascii="Helvetica" w:hAnsi="Helvetica" w:cs="Helvetica"/>
          <w:color w:val="3D494C"/>
        </w:rPr>
        <w:t> </w:t>
      </w:r>
    </w:p>
    <w:p w14:paraId="0D41C90C" w14:textId="77777777" w:rsidR="00405D71" w:rsidRDefault="00405D71"/>
    <w:sectPr w:rsidR="00405D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D71"/>
    <w:rsid w:val="00405D71"/>
    <w:rsid w:val="00822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2B3D6"/>
  <w15:chartTrackingRefBased/>
  <w15:docId w15:val="{2E005A87-5E1F-46A5-BEC2-4BA43593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5D7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05D71"/>
    <w:rPr>
      <w:i/>
      <w:iCs/>
    </w:rPr>
  </w:style>
  <w:style w:type="character" w:styleId="Hyperlink">
    <w:name w:val="Hyperlink"/>
    <w:basedOn w:val="DefaultParagraphFont"/>
    <w:uiPriority w:val="99"/>
    <w:semiHidden/>
    <w:unhideWhenUsed/>
    <w:rsid w:val="00405D71"/>
    <w:rPr>
      <w:color w:val="0000FF"/>
      <w:u w:val="single"/>
    </w:rPr>
  </w:style>
  <w:style w:type="character" w:customStyle="1" w:styleId="screenreader-only">
    <w:name w:val="screenreader-only"/>
    <w:basedOn w:val="DefaultParagraphFont"/>
    <w:rsid w:val="00405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5211">
      <w:bodyDiv w:val="1"/>
      <w:marLeft w:val="0"/>
      <w:marRight w:val="0"/>
      <w:marTop w:val="0"/>
      <w:marBottom w:val="0"/>
      <w:divBdr>
        <w:top w:val="none" w:sz="0" w:space="0" w:color="auto"/>
        <w:left w:val="none" w:sz="0" w:space="0" w:color="auto"/>
        <w:bottom w:val="none" w:sz="0" w:space="0" w:color="auto"/>
        <w:right w:val="none" w:sz="0" w:space="0" w:color="auto"/>
      </w:divBdr>
    </w:div>
    <w:div w:id="43813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edshel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842</Words>
  <Characters>4801</Characters>
  <Application>Microsoft Office Word</Application>
  <DocSecurity>0</DocSecurity>
  <Lines>40</Lines>
  <Paragraphs>11</Paragraphs>
  <ScaleCrop>false</ScaleCrop>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1</cp:revision>
  <dcterms:created xsi:type="dcterms:W3CDTF">2021-09-03T11:21:00Z</dcterms:created>
  <dcterms:modified xsi:type="dcterms:W3CDTF">2021-09-03T11:22:00Z</dcterms:modified>
</cp:coreProperties>
</file>