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4BF" w:rsidRDefault="00FA74BF" w:rsidP="000A2EF1">
      <w:pPr>
        <w:spacing w:after="0" w:line="480" w:lineRule="auto"/>
        <w:contextualSpacing/>
        <w:rPr>
          <w:rFonts w:ascii="Times New Roman" w:eastAsia="Times New Roman" w:hAnsi="Times New Roman" w:cs="Times New Roman"/>
          <w:b/>
          <w:bCs/>
          <w:color w:val="111111"/>
          <w:sz w:val="24"/>
          <w:szCs w:val="24"/>
          <w:bdr w:val="none" w:sz="0" w:space="0" w:color="auto" w:frame="1"/>
        </w:rPr>
      </w:pPr>
      <w:r>
        <w:rPr>
          <w:rFonts w:ascii="Times New Roman" w:eastAsia="Times New Roman" w:hAnsi="Times New Roman" w:cs="Times New Roman"/>
          <w:b/>
          <w:bCs/>
          <w:color w:val="111111"/>
          <w:sz w:val="24"/>
          <w:szCs w:val="24"/>
          <w:bdr w:val="none" w:sz="0" w:space="0" w:color="auto" w:frame="1"/>
        </w:rPr>
        <w:t>Irving Zeno</w:t>
      </w:r>
    </w:p>
    <w:p w:rsidR="009D4E2A" w:rsidRDefault="00252C14" w:rsidP="000A2EF1">
      <w:pPr>
        <w:spacing w:after="0" w:line="480" w:lineRule="auto"/>
        <w:ind w:firstLine="720"/>
        <w:contextualSpacing/>
        <w:rPr>
          <w:rFonts w:ascii="Times New Roman" w:eastAsia="Times New Roman" w:hAnsi="Times New Roman" w:cs="Times New Roman"/>
          <w:bCs/>
          <w:color w:val="111111"/>
          <w:sz w:val="24"/>
          <w:szCs w:val="24"/>
          <w:bdr w:val="none" w:sz="0" w:space="0" w:color="auto" w:frame="1"/>
        </w:rPr>
      </w:pPr>
      <w:r w:rsidRPr="00930485">
        <w:rPr>
          <w:rFonts w:ascii="Times New Roman" w:eastAsia="Times New Roman" w:hAnsi="Times New Roman" w:cs="Times New Roman"/>
          <w:bCs/>
          <w:color w:val="111111"/>
          <w:sz w:val="24"/>
          <w:szCs w:val="24"/>
          <w:bdr w:val="none" w:sz="0" w:space="0" w:color="auto" w:frame="1"/>
        </w:rPr>
        <w:t xml:space="preserve">I agree that anemia </w:t>
      </w:r>
      <w:r w:rsidR="00FA74BF">
        <w:rPr>
          <w:rFonts w:ascii="Times New Roman" w:eastAsia="Times New Roman" w:hAnsi="Times New Roman" w:cs="Times New Roman"/>
          <w:bCs/>
          <w:color w:val="111111"/>
          <w:sz w:val="24"/>
          <w:szCs w:val="24"/>
          <w:bdr w:val="none" w:sz="0" w:space="0" w:color="auto" w:frame="1"/>
        </w:rPr>
        <w:t>is a disease caused by</w:t>
      </w:r>
      <w:r>
        <w:rPr>
          <w:rFonts w:ascii="Times New Roman" w:eastAsia="Times New Roman" w:hAnsi="Times New Roman" w:cs="Times New Roman"/>
          <w:bCs/>
          <w:color w:val="111111"/>
          <w:sz w:val="24"/>
          <w:szCs w:val="24"/>
          <w:bdr w:val="none" w:sz="0" w:space="0" w:color="auto" w:frame="1"/>
        </w:rPr>
        <w:t xml:space="preserve"> lack of enough healthy red blood cells that supplies oxygen in the tissues. In women and adolescent girls, the disease affects them more compared to men due to their biological differences. Iron deficiency anemia occurs in women due to menstruation caused by insufficient iron that helps hemoglobin production</w:t>
      </w:r>
      <w:r w:rsidR="00C63B66">
        <w:rPr>
          <w:rFonts w:ascii="Times New Roman" w:eastAsia="Times New Roman" w:hAnsi="Times New Roman" w:cs="Times New Roman"/>
          <w:bCs/>
          <w:color w:val="111111"/>
          <w:sz w:val="24"/>
          <w:szCs w:val="24"/>
          <w:bdr w:val="none" w:sz="0" w:space="0" w:color="auto" w:frame="1"/>
        </w:rPr>
        <w:t xml:space="preserve"> (</w:t>
      </w:r>
      <w:r w:rsidR="00C63B66" w:rsidRPr="00A64C95">
        <w:rPr>
          <w:rFonts w:ascii="Times New Roman" w:hAnsi="Times New Roman" w:cs="Times New Roman"/>
          <w:sz w:val="24"/>
          <w:szCs w:val="24"/>
        </w:rPr>
        <w:t>L</w:t>
      </w:r>
      <w:r w:rsidR="00C63B66">
        <w:rPr>
          <w:rFonts w:ascii="Times New Roman" w:hAnsi="Times New Roman" w:cs="Times New Roman"/>
          <w:sz w:val="24"/>
          <w:szCs w:val="24"/>
        </w:rPr>
        <w:t xml:space="preserve">opez et al., </w:t>
      </w:r>
      <w:r w:rsidR="00C63B66" w:rsidRPr="00A64C95">
        <w:rPr>
          <w:rFonts w:ascii="Times New Roman" w:hAnsi="Times New Roman" w:cs="Times New Roman"/>
          <w:sz w:val="24"/>
          <w:szCs w:val="24"/>
        </w:rPr>
        <w:t>2016</w:t>
      </w:r>
      <w:r w:rsidR="00C63B66">
        <w:rPr>
          <w:rFonts w:ascii="Times New Roman" w:hAnsi="Times New Roman" w:cs="Times New Roman"/>
          <w:sz w:val="24"/>
          <w:szCs w:val="24"/>
        </w:rPr>
        <w:t>, p. 907-916)</w:t>
      </w:r>
      <w:r>
        <w:rPr>
          <w:rFonts w:ascii="Times New Roman" w:eastAsia="Times New Roman" w:hAnsi="Times New Roman" w:cs="Times New Roman"/>
          <w:bCs/>
          <w:color w:val="111111"/>
          <w:sz w:val="24"/>
          <w:szCs w:val="24"/>
          <w:bdr w:val="none" w:sz="0" w:space="0" w:color="auto" w:frame="1"/>
        </w:rPr>
        <w:t xml:space="preserve">. Also, the lack of an iron diet leads to iron deficiency anemia in women and young girls; therefore, they need to consume iron-rich foods such as leafy green vegetables, eggs, and meat. </w:t>
      </w:r>
    </w:p>
    <w:p w:rsidR="008426A5" w:rsidRPr="008426A5" w:rsidRDefault="008426A5" w:rsidP="000A2EF1">
      <w:pPr>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b/>
          <w:bCs/>
          <w:color w:val="111111"/>
          <w:sz w:val="24"/>
          <w:szCs w:val="24"/>
          <w:bdr w:val="none" w:sz="0" w:space="0" w:color="auto" w:frame="1"/>
        </w:rPr>
        <w:t>Disease Process in Adults and Childre</w:t>
      </w:r>
      <w:bookmarkStart w:id="0" w:name="_GoBack"/>
      <w:bookmarkEnd w:id="0"/>
      <w:r>
        <w:rPr>
          <w:rFonts w:ascii="Times New Roman" w:eastAsia="Times New Roman" w:hAnsi="Times New Roman" w:cs="Times New Roman"/>
          <w:b/>
          <w:bCs/>
          <w:color w:val="111111"/>
          <w:sz w:val="24"/>
          <w:szCs w:val="24"/>
          <w:bdr w:val="none" w:sz="0" w:space="0" w:color="auto" w:frame="1"/>
        </w:rPr>
        <w:t>n</w:t>
      </w:r>
    </w:p>
    <w:p w:rsidR="00134D80" w:rsidRPr="00FA74BF" w:rsidRDefault="00252C14" w:rsidP="000A2EF1">
      <w:pPr>
        <w:spacing w:after="0" w:line="480" w:lineRule="auto"/>
        <w:ind w:firstLine="720"/>
        <w:rPr>
          <w:rFonts w:ascii="Times New Roman" w:eastAsia="Times New Roman" w:hAnsi="Times New Roman" w:cs="Times New Roman"/>
          <w:bCs/>
          <w:color w:val="111111"/>
          <w:sz w:val="24"/>
          <w:szCs w:val="24"/>
          <w:bdr w:val="none" w:sz="0" w:space="0" w:color="auto" w:frame="1"/>
        </w:rPr>
      </w:pPr>
      <w:r w:rsidRPr="009D4E2A">
        <w:rPr>
          <w:rFonts w:ascii="Times New Roman" w:eastAsia="Times New Roman" w:hAnsi="Times New Roman" w:cs="Times New Roman"/>
          <w:bCs/>
          <w:color w:val="111111"/>
          <w:sz w:val="24"/>
          <w:szCs w:val="24"/>
          <w:bdr w:val="none" w:sz="0" w:space="0" w:color="auto" w:frame="1"/>
        </w:rPr>
        <w:t xml:space="preserve">In older adults, anemia takes place because of iron deficiency and chronic illnesses such as cardiovascular diseases. </w:t>
      </w:r>
      <w:r w:rsidR="00FA74BF">
        <w:rPr>
          <w:rFonts w:ascii="Times New Roman" w:eastAsia="Times New Roman" w:hAnsi="Times New Roman" w:cs="Times New Roman"/>
          <w:bCs/>
          <w:color w:val="111111"/>
          <w:sz w:val="24"/>
          <w:szCs w:val="24"/>
          <w:bdr w:val="none" w:sz="0" w:space="0" w:color="auto" w:frame="1"/>
        </w:rPr>
        <w:t>I accede that t</w:t>
      </w:r>
      <w:r w:rsidRPr="009D4E2A">
        <w:rPr>
          <w:rFonts w:ascii="Times New Roman" w:eastAsia="Times New Roman" w:hAnsi="Times New Roman" w:cs="Times New Roman"/>
          <w:bCs/>
          <w:color w:val="111111"/>
          <w:sz w:val="24"/>
          <w:szCs w:val="24"/>
          <w:bdr w:val="none" w:sz="0" w:space="0" w:color="auto" w:frame="1"/>
        </w:rPr>
        <w:t>he symptoms of anemia of chronic disease or anemia of inflammation in the elderly differ from person to person, depending on the disease they are suffering from. But the most common symptoms are similar to those of adults such as shortness of breath, dizzine</w:t>
      </w:r>
      <w:r w:rsidR="00FA74BF">
        <w:rPr>
          <w:rFonts w:ascii="Times New Roman" w:eastAsia="Times New Roman" w:hAnsi="Times New Roman" w:cs="Times New Roman"/>
          <w:bCs/>
          <w:color w:val="111111"/>
          <w:sz w:val="24"/>
          <w:szCs w:val="24"/>
          <w:bdr w:val="none" w:sz="0" w:space="0" w:color="auto" w:frame="1"/>
        </w:rPr>
        <w:t xml:space="preserve">ss, paleness, and weakness </w:t>
      </w:r>
      <w:r w:rsidR="001C65EA">
        <w:rPr>
          <w:rFonts w:ascii="Times New Roman" w:eastAsia="Times New Roman" w:hAnsi="Times New Roman" w:cs="Times New Roman"/>
          <w:bCs/>
          <w:color w:val="111111"/>
          <w:sz w:val="24"/>
          <w:szCs w:val="24"/>
          <w:bdr w:val="none" w:sz="0" w:space="0" w:color="auto" w:frame="1"/>
        </w:rPr>
        <w:t>(</w:t>
      </w:r>
      <w:proofErr w:type="spellStart"/>
      <w:r w:rsidR="001C65EA" w:rsidRPr="00A64C95">
        <w:rPr>
          <w:rFonts w:ascii="Times New Roman" w:hAnsi="Times New Roman" w:cs="Times New Roman"/>
          <w:sz w:val="24"/>
          <w:szCs w:val="24"/>
        </w:rPr>
        <w:t>Gan</w:t>
      </w:r>
      <w:r w:rsidR="001C65EA">
        <w:rPr>
          <w:rFonts w:ascii="Times New Roman" w:hAnsi="Times New Roman" w:cs="Times New Roman"/>
          <w:sz w:val="24"/>
          <w:szCs w:val="24"/>
        </w:rPr>
        <w:t>z</w:t>
      </w:r>
      <w:proofErr w:type="spellEnd"/>
      <w:r w:rsidR="001C65EA">
        <w:rPr>
          <w:rFonts w:ascii="Times New Roman" w:hAnsi="Times New Roman" w:cs="Times New Roman"/>
          <w:sz w:val="24"/>
          <w:szCs w:val="24"/>
        </w:rPr>
        <w:t xml:space="preserve">, </w:t>
      </w:r>
      <w:r w:rsidR="001C65EA" w:rsidRPr="00A64C95">
        <w:rPr>
          <w:rFonts w:ascii="Times New Roman" w:hAnsi="Times New Roman" w:cs="Times New Roman"/>
          <w:sz w:val="24"/>
          <w:szCs w:val="24"/>
        </w:rPr>
        <w:t>2019</w:t>
      </w:r>
      <w:r w:rsidR="00293AA3">
        <w:rPr>
          <w:rFonts w:ascii="Times New Roman" w:hAnsi="Times New Roman" w:cs="Times New Roman"/>
          <w:sz w:val="24"/>
          <w:szCs w:val="24"/>
        </w:rPr>
        <w:t>, p. 155-160</w:t>
      </w:r>
      <w:r w:rsidR="001C65EA">
        <w:rPr>
          <w:rFonts w:ascii="Times New Roman" w:hAnsi="Times New Roman" w:cs="Times New Roman"/>
          <w:sz w:val="24"/>
          <w:szCs w:val="24"/>
        </w:rPr>
        <w:t>)</w:t>
      </w:r>
      <w:r w:rsidRPr="009D4E2A">
        <w:rPr>
          <w:rFonts w:ascii="Times New Roman" w:eastAsia="Times New Roman" w:hAnsi="Times New Roman" w:cs="Times New Roman"/>
          <w:bCs/>
          <w:color w:val="111111"/>
          <w:sz w:val="24"/>
          <w:szCs w:val="24"/>
          <w:bdr w:val="none" w:sz="0" w:space="0" w:color="auto" w:frame="1"/>
        </w:rPr>
        <w:t>.</w:t>
      </w:r>
      <w:r w:rsidR="00FA74BF">
        <w:rPr>
          <w:rFonts w:ascii="Times New Roman" w:eastAsia="Times New Roman" w:hAnsi="Times New Roman" w:cs="Times New Roman"/>
          <w:bCs/>
          <w:color w:val="111111"/>
          <w:sz w:val="24"/>
          <w:szCs w:val="24"/>
          <w:bdr w:val="none" w:sz="0" w:space="0" w:color="auto" w:frame="1"/>
        </w:rPr>
        <w:t xml:space="preserve"> </w:t>
      </w:r>
      <w:r w:rsidRPr="009D4E2A">
        <w:rPr>
          <w:rFonts w:ascii="Times New Roman" w:eastAsia="Times New Roman" w:hAnsi="Times New Roman" w:cs="Times New Roman"/>
          <w:bCs/>
          <w:color w:val="111111"/>
          <w:sz w:val="24"/>
          <w:szCs w:val="24"/>
          <w:bdr w:val="none" w:sz="0" w:space="0" w:color="auto" w:frame="1"/>
        </w:rPr>
        <w:t xml:space="preserve">In general, the diagnosis process in the elderly, children, and adults is similar because a sample of their blood is tested for any signs of anemia if they experience some of the mentioned symptoms. For treatment processes, in children, it will depend on the age of the child, causes, and </w:t>
      </w:r>
      <w:r w:rsidR="00FA74BF">
        <w:rPr>
          <w:rFonts w:ascii="Times New Roman" w:eastAsia="Times New Roman" w:hAnsi="Times New Roman" w:cs="Times New Roman"/>
          <w:bCs/>
          <w:color w:val="111111"/>
          <w:sz w:val="24"/>
          <w:szCs w:val="24"/>
          <w:bdr w:val="none" w:sz="0" w:space="0" w:color="auto" w:frame="1"/>
        </w:rPr>
        <w:t xml:space="preserve">symptoms they are experiencing </w:t>
      </w:r>
      <w:r w:rsidR="00D51696">
        <w:rPr>
          <w:rFonts w:ascii="Times New Roman" w:eastAsia="Times New Roman" w:hAnsi="Times New Roman" w:cs="Times New Roman"/>
          <w:bCs/>
          <w:color w:val="111111"/>
          <w:sz w:val="24"/>
          <w:szCs w:val="24"/>
          <w:bdr w:val="none" w:sz="0" w:space="0" w:color="auto" w:frame="1"/>
        </w:rPr>
        <w:t>(</w:t>
      </w:r>
      <w:r w:rsidR="00D51696">
        <w:rPr>
          <w:rFonts w:ascii="Times New Roman" w:hAnsi="Times New Roman" w:cs="Times New Roman"/>
          <w:sz w:val="24"/>
          <w:szCs w:val="24"/>
        </w:rPr>
        <w:t>Fischer,</w:t>
      </w:r>
      <w:r w:rsidR="00D51696" w:rsidRPr="00D51696">
        <w:rPr>
          <w:rFonts w:ascii="Times New Roman" w:hAnsi="Times New Roman" w:cs="Times New Roman"/>
          <w:sz w:val="24"/>
          <w:szCs w:val="24"/>
        </w:rPr>
        <w:t xml:space="preserve"> 2020</w:t>
      </w:r>
      <w:r w:rsidR="00D51696">
        <w:rPr>
          <w:rFonts w:ascii="Times New Roman" w:hAnsi="Times New Roman" w:cs="Times New Roman"/>
          <w:sz w:val="24"/>
          <w:szCs w:val="24"/>
        </w:rPr>
        <w:t>, p.5)</w:t>
      </w:r>
      <w:r w:rsidRPr="009D4E2A">
        <w:rPr>
          <w:rFonts w:ascii="Times New Roman" w:eastAsia="Times New Roman" w:hAnsi="Times New Roman" w:cs="Times New Roman"/>
          <w:bCs/>
          <w:color w:val="111111"/>
          <w:sz w:val="24"/>
          <w:szCs w:val="24"/>
          <w:bdr w:val="none" w:sz="0" w:space="0" w:color="auto" w:frame="1"/>
        </w:rPr>
        <w:t>. Iron deficiency anemia in women and men includes iron supplements, dietary changes, and surgery if the illness is critical</w:t>
      </w:r>
      <w:r w:rsidR="002A63B7">
        <w:rPr>
          <w:rFonts w:ascii="Times New Roman" w:eastAsia="Times New Roman" w:hAnsi="Times New Roman" w:cs="Times New Roman"/>
          <w:bCs/>
          <w:color w:val="111111"/>
          <w:sz w:val="24"/>
          <w:szCs w:val="24"/>
          <w:bdr w:val="none" w:sz="0" w:space="0" w:color="auto" w:frame="1"/>
        </w:rPr>
        <w:t xml:space="preserve"> (</w:t>
      </w:r>
      <w:r w:rsidR="002A63B7">
        <w:rPr>
          <w:rFonts w:ascii="Times New Roman" w:hAnsi="Times New Roman" w:cs="Times New Roman"/>
          <w:sz w:val="24"/>
          <w:szCs w:val="24"/>
        </w:rPr>
        <w:t>Mirza et al</w:t>
      </w:r>
      <w:r w:rsidR="002A63B7" w:rsidRPr="00A64C95">
        <w:rPr>
          <w:rFonts w:ascii="Times New Roman" w:hAnsi="Times New Roman" w:cs="Times New Roman"/>
          <w:sz w:val="24"/>
          <w:szCs w:val="24"/>
        </w:rPr>
        <w:t>, 2018</w:t>
      </w:r>
      <w:r w:rsidR="002A63B7">
        <w:rPr>
          <w:rFonts w:ascii="Times New Roman" w:eastAsia="Times New Roman" w:hAnsi="Times New Roman" w:cs="Times New Roman"/>
          <w:bCs/>
          <w:color w:val="111111"/>
          <w:sz w:val="24"/>
          <w:szCs w:val="24"/>
          <w:bdr w:val="none" w:sz="0" w:space="0" w:color="auto" w:frame="1"/>
        </w:rPr>
        <w:t>, p</w:t>
      </w:r>
      <w:r w:rsidR="002A63B7" w:rsidRPr="002A63B7">
        <w:rPr>
          <w:rFonts w:ascii="Times New Roman" w:eastAsia="Times New Roman" w:hAnsi="Times New Roman" w:cs="Times New Roman"/>
          <w:bCs/>
          <w:color w:val="111111"/>
          <w:sz w:val="24"/>
          <w:szCs w:val="24"/>
          <w:bdr w:val="none" w:sz="0" w:space="0" w:color="auto" w:frame="1"/>
        </w:rPr>
        <w:t>.727-736</w:t>
      </w:r>
      <w:r w:rsidR="002A63B7">
        <w:rPr>
          <w:rFonts w:ascii="Times New Roman" w:eastAsia="Times New Roman" w:hAnsi="Times New Roman" w:cs="Times New Roman"/>
          <w:bCs/>
          <w:color w:val="111111"/>
          <w:sz w:val="24"/>
          <w:szCs w:val="24"/>
          <w:bdr w:val="none" w:sz="0" w:space="0" w:color="auto" w:frame="1"/>
        </w:rPr>
        <w:t>)</w:t>
      </w:r>
      <w:r w:rsidR="00FA74BF">
        <w:rPr>
          <w:rFonts w:ascii="Times New Roman" w:eastAsia="Times New Roman" w:hAnsi="Times New Roman" w:cs="Times New Roman"/>
          <w:bCs/>
          <w:color w:val="111111"/>
          <w:sz w:val="24"/>
          <w:szCs w:val="24"/>
          <w:bdr w:val="none" w:sz="0" w:space="0" w:color="auto" w:frame="1"/>
        </w:rPr>
        <w:t>.</w:t>
      </w:r>
    </w:p>
    <w:p w:rsidR="00FA74BF" w:rsidRDefault="00FA74BF" w:rsidP="000A2EF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64C95" w:rsidRDefault="00A64C95" w:rsidP="000A2EF1">
      <w:pPr>
        <w:spacing w:line="480" w:lineRule="auto"/>
        <w:jc w:val="center"/>
        <w:rPr>
          <w:rFonts w:ascii="Times New Roman" w:hAnsi="Times New Roman" w:cs="Times New Roman"/>
          <w:sz w:val="24"/>
          <w:szCs w:val="24"/>
        </w:rPr>
      </w:pPr>
      <w:r w:rsidRPr="00A64C95">
        <w:rPr>
          <w:rFonts w:ascii="Times New Roman" w:hAnsi="Times New Roman" w:cs="Times New Roman"/>
          <w:sz w:val="24"/>
          <w:szCs w:val="24"/>
        </w:rPr>
        <w:lastRenderedPageBreak/>
        <w:t>References</w:t>
      </w:r>
    </w:p>
    <w:p w:rsidR="00D51696" w:rsidRDefault="00D51696" w:rsidP="000A2EF1">
      <w:pPr>
        <w:spacing w:after="0" w:line="480" w:lineRule="auto"/>
        <w:ind w:left="720" w:hanging="720"/>
        <w:contextualSpacing/>
        <w:rPr>
          <w:rFonts w:ascii="Times New Roman" w:hAnsi="Times New Roman" w:cs="Times New Roman"/>
          <w:sz w:val="24"/>
          <w:szCs w:val="24"/>
        </w:rPr>
      </w:pPr>
      <w:r w:rsidRPr="00D51696">
        <w:rPr>
          <w:rFonts w:ascii="Times New Roman" w:hAnsi="Times New Roman" w:cs="Times New Roman"/>
          <w:sz w:val="24"/>
          <w:szCs w:val="24"/>
        </w:rPr>
        <w:t>Fischer, S., 2020. Treating Anemia of Chronic Disease. </w:t>
      </w:r>
      <w:r w:rsidRPr="00D51696">
        <w:rPr>
          <w:rFonts w:ascii="Times New Roman" w:hAnsi="Times New Roman" w:cs="Times New Roman"/>
          <w:i/>
          <w:iCs/>
          <w:sz w:val="24"/>
          <w:szCs w:val="24"/>
        </w:rPr>
        <w:t>The Science Journal of the Lander College of Arts and Sciences</w:t>
      </w:r>
      <w:r w:rsidRPr="00D51696">
        <w:rPr>
          <w:rFonts w:ascii="Times New Roman" w:hAnsi="Times New Roman" w:cs="Times New Roman"/>
          <w:sz w:val="24"/>
          <w:szCs w:val="24"/>
        </w:rPr>
        <w:t>, </w:t>
      </w:r>
      <w:r w:rsidRPr="00D51696">
        <w:rPr>
          <w:rFonts w:ascii="Times New Roman" w:hAnsi="Times New Roman" w:cs="Times New Roman"/>
          <w:i/>
          <w:iCs/>
          <w:sz w:val="24"/>
          <w:szCs w:val="24"/>
        </w:rPr>
        <w:t>13</w:t>
      </w:r>
      <w:r w:rsidRPr="00D51696">
        <w:rPr>
          <w:rFonts w:ascii="Times New Roman" w:hAnsi="Times New Roman" w:cs="Times New Roman"/>
          <w:sz w:val="24"/>
          <w:szCs w:val="24"/>
        </w:rPr>
        <w:t>(2), p.5.</w:t>
      </w:r>
    </w:p>
    <w:p w:rsidR="00A64C95" w:rsidRDefault="00A64C95" w:rsidP="000A2EF1">
      <w:pPr>
        <w:spacing w:after="0" w:line="480" w:lineRule="auto"/>
        <w:ind w:left="720" w:hanging="720"/>
        <w:contextualSpacing/>
        <w:rPr>
          <w:rFonts w:ascii="Times New Roman" w:hAnsi="Times New Roman" w:cs="Times New Roman"/>
          <w:sz w:val="24"/>
          <w:szCs w:val="24"/>
        </w:rPr>
      </w:pPr>
      <w:r w:rsidRPr="00A64C95">
        <w:rPr>
          <w:rFonts w:ascii="Times New Roman" w:hAnsi="Times New Roman" w:cs="Times New Roman"/>
          <w:sz w:val="24"/>
          <w:szCs w:val="24"/>
        </w:rPr>
        <w:t>Ganz, T., 2019. Anemia of chronic disease. </w:t>
      </w:r>
      <w:r w:rsidRPr="00A64C95">
        <w:rPr>
          <w:rFonts w:ascii="Times New Roman" w:hAnsi="Times New Roman" w:cs="Times New Roman"/>
          <w:i/>
          <w:iCs/>
          <w:sz w:val="24"/>
          <w:szCs w:val="24"/>
        </w:rPr>
        <w:t>Molecular Hematology</w:t>
      </w:r>
      <w:r w:rsidRPr="00A64C95">
        <w:rPr>
          <w:rFonts w:ascii="Times New Roman" w:hAnsi="Times New Roman" w:cs="Times New Roman"/>
          <w:sz w:val="24"/>
          <w:szCs w:val="24"/>
        </w:rPr>
        <w:t>, pp.155-160.</w:t>
      </w:r>
    </w:p>
    <w:p w:rsidR="00A64C95" w:rsidRDefault="00A64C95" w:rsidP="000A2EF1">
      <w:pPr>
        <w:spacing w:after="0" w:line="480" w:lineRule="auto"/>
        <w:ind w:left="720" w:hanging="720"/>
        <w:contextualSpacing/>
        <w:rPr>
          <w:rFonts w:ascii="Times New Roman" w:hAnsi="Times New Roman" w:cs="Times New Roman"/>
          <w:sz w:val="24"/>
          <w:szCs w:val="24"/>
        </w:rPr>
      </w:pPr>
      <w:proofErr w:type="spellStart"/>
      <w:r w:rsidRPr="00A64C95">
        <w:rPr>
          <w:rFonts w:ascii="Times New Roman" w:hAnsi="Times New Roman" w:cs="Times New Roman"/>
          <w:sz w:val="24"/>
          <w:szCs w:val="24"/>
        </w:rPr>
        <w:t>Mirza</w:t>
      </w:r>
      <w:proofErr w:type="spellEnd"/>
      <w:r w:rsidRPr="00A64C95">
        <w:rPr>
          <w:rFonts w:ascii="Times New Roman" w:hAnsi="Times New Roman" w:cs="Times New Roman"/>
          <w:sz w:val="24"/>
          <w:szCs w:val="24"/>
        </w:rPr>
        <w:t>, F.G., Abdul-</w:t>
      </w:r>
      <w:proofErr w:type="spellStart"/>
      <w:r w:rsidRPr="00A64C95">
        <w:rPr>
          <w:rFonts w:ascii="Times New Roman" w:hAnsi="Times New Roman" w:cs="Times New Roman"/>
          <w:sz w:val="24"/>
          <w:szCs w:val="24"/>
        </w:rPr>
        <w:t>Kadir</w:t>
      </w:r>
      <w:proofErr w:type="spellEnd"/>
      <w:r w:rsidRPr="00A64C95">
        <w:rPr>
          <w:rFonts w:ascii="Times New Roman" w:hAnsi="Times New Roman" w:cs="Times New Roman"/>
          <w:sz w:val="24"/>
          <w:szCs w:val="24"/>
        </w:rPr>
        <w:t xml:space="preserve">, R., </w:t>
      </w:r>
      <w:proofErr w:type="spellStart"/>
      <w:r w:rsidRPr="00A64C95">
        <w:rPr>
          <w:rFonts w:ascii="Times New Roman" w:hAnsi="Times New Roman" w:cs="Times New Roman"/>
          <w:sz w:val="24"/>
          <w:szCs w:val="24"/>
        </w:rPr>
        <w:t>Breymann</w:t>
      </w:r>
      <w:proofErr w:type="spellEnd"/>
      <w:r w:rsidRPr="00A64C95">
        <w:rPr>
          <w:rFonts w:ascii="Times New Roman" w:hAnsi="Times New Roman" w:cs="Times New Roman"/>
          <w:sz w:val="24"/>
          <w:szCs w:val="24"/>
        </w:rPr>
        <w:t xml:space="preserve">, C., Fraser, I.S. and </w:t>
      </w:r>
      <w:proofErr w:type="spellStart"/>
      <w:r w:rsidRPr="00A64C95">
        <w:rPr>
          <w:rFonts w:ascii="Times New Roman" w:hAnsi="Times New Roman" w:cs="Times New Roman"/>
          <w:sz w:val="24"/>
          <w:szCs w:val="24"/>
        </w:rPr>
        <w:t>Taher</w:t>
      </w:r>
      <w:proofErr w:type="spellEnd"/>
      <w:r w:rsidRPr="00A64C95">
        <w:rPr>
          <w:rFonts w:ascii="Times New Roman" w:hAnsi="Times New Roman" w:cs="Times New Roman"/>
          <w:sz w:val="24"/>
          <w:szCs w:val="24"/>
        </w:rPr>
        <w:t>, A., 2018. Impact and management of iron deficiency and iron deficiency anemia in women’s health. </w:t>
      </w:r>
      <w:r w:rsidRPr="00A64C95">
        <w:rPr>
          <w:rFonts w:ascii="Times New Roman" w:hAnsi="Times New Roman" w:cs="Times New Roman"/>
          <w:i/>
          <w:iCs/>
          <w:sz w:val="24"/>
          <w:szCs w:val="24"/>
        </w:rPr>
        <w:t>Expert review of hematology</w:t>
      </w:r>
      <w:r w:rsidRPr="00A64C95">
        <w:rPr>
          <w:rFonts w:ascii="Times New Roman" w:hAnsi="Times New Roman" w:cs="Times New Roman"/>
          <w:sz w:val="24"/>
          <w:szCs w:val="24"/>
        </w:rPr>
        <w:t>, </w:t>
      </w:r>
      <w:r w:rsidRPr="00A64C95">
        <w:rPr>
          <w:rFonts w:ascii="Times New Roman" w:hAnsi="Times New Roman" w:cs="Times New Roman"/>
          <w:i/>
          <w:iCs/>
          <w:sz w:val="24"/>
          <w:szCs w:val="24"/>
        </w:rPr>
        <w:t>11</w:t>
      </w:r>
      <w:r w:rsidRPr="00A64C95">
        <w:rPr>
          <w:rFonts w:ascii="Times New Roman" w:hAnsi="Times New Roman" w:cs="Times New Roman"/>
          <w:sz w:val="24"/>
          <w:szCs w:val="24"/>
        </w:rPr>
        <w:t>(9), pp.727-736.</w:t>
      </w:r>
    </w:p>
    <w:p w:rsidR="00A64C95" w:rsidRPr="00A64C95" w:rsidRDefault="00A64C95" w:rsidP="000A2EF1">
      <w:pPr>
        <w:spacing w:after="0" w:line="480" w:lineRule="auto"/>
        <w:ind w:left="720" w:hanging="720"/>
        <w:contextualSpacing/>
        <w:rPr>
          <w:rFonts w:ascii="Times New Roman" w:hAnsi="Times New Roman" w:cs="Times New Roman"/>
          <w:sz w:val="24"/>
          <w:szCs w:val="24"/>
        </w:rPr>
      </w:pPr>
      <w:r w:rsidRPr="00A64C95">
        <w:rPr>
          <w:rFonts w:ascii="Times New Roman" w:hAnsi="Times New Roman" w:cs="Times New Roman"/>
          <w:sz w:val="24"/>
          <w:szCs w:val="24"/>
        </w:rPr>
        <w:t xml:space="preserve">Lopez, A., </w:t>
      </w:r>
      <w:proofErr w:type="spellStart"/>
      <w:r w:rsidRPr="00A64C95">
        <w:rPr>
          <w:rFonts w:ascii="Times New Roman" w:hAnsi="Times New Roman" w:cs="Times New Roman"/>
          <w:sz w:val="24"/>
          <w:szCs w:val="24"/>
        </w:rPr>
        <w:t>Cacoub</w:t>
      </w:r>
      <w:proofErr w:type="spellEnd"/>
      <w:r w:rsidRPr="00A64C95">
        <w:rPr>
          <w:rFonts w:ascii="Times New Roman" w:hAnsi="Times New Roman" w:cs="Times New Roman"/>
          <w:sz w:val="24"/>
          <w:szCs w:val="24"/>
        </w:rPr>
        <w:t xml:space="preserve">, P., </w:t>
      </w:r>
      <w:proofErr w:type="spellStart"/>
      <w:r w:rsidRPr="00A64C95">
        <w:rPr>
          <w:rFonts w:ascii="Times New Roman" w:hAnsi="Times New Roman" w:cs="Times New Roman"/>
          <w:sz w:val="24"/>
          <w:szCs w:val="24"/>
        </w:rPr>
        <w:t>Macdougall</w:t>
      </w:r>
      <w:proofErr w:type="spellEnd"/>
      <w:r w:rsidRPr="00A64C95">
        <w:rPr>
          <w:rFonts w:ascii="Times New Roman" w:hAnsi="Times New Roman" w:cs="Times New Roman"/>
          <w:sz w:val="24"/>
          <w:szCs w:val="24"/>
        </w:rPr>
        <w:t xml:space="preserve">, I.C. and </w:t>
      </w:r>
      <w:proofErr w:type="spellStart"/>
      <w:r w:rsidRPr="00A64C95">
        <w:rPr>
          <w:rFonts w:ascii="Times New Roman" w:hAnsi="Times New Roman" w:cs="Times New Roman"/>
          <w:sz w:val="24"/>
          <w:szCs w:val="24"/>
        </w:rPr>
        <w:t>Peyrin-Biroulet</w:t>
      </w:r>
      <w:proofErr w:type="spellEnd"/>
      <w:r w:rsidRPr="00A64C95">
        <w:rPr>
          <w:rFonts w:ascii="Times New Roman" w:hAnsi="Times New Roman" w:cs="Times New Roman"/>
          <w:sz w:val="24"/>
          <w:szCs w:val="24"/>
        </w:rPr>
        <w:t>, L., 2016. Iron deficiency anaemia. </w:t>
      </w:r>
      <w:r w:rsidRPr="00A64C95">
        <w:rPr>
          <w:rFonts w:ascii="Times New Roman" w:hAnsi="Times New Roman" w:cs="Times New Roman"/>
          <w:i/>
          <w:iCs/>
          <w:sz w:val="24"/>
          <w:szCs w:val="24"/>
        </w:rPr>
        <w:t>The Lancet</w:t>
      </w:r>
      <w:r w:rsidRPr="00A64C95">
        <w:rPr>
          <w:rFonts w:ascii="Times New Roman" w:hAnsi="Times New Roman" w:cs="Times New Roman"/>
          <w:sz w:val="24"/>
          <w:szCs w:val="24"/>
        </w:rPr>
        <w:t>, </w:t>
      </w:r>
      <w:r w:rsidRPr="00A64C95">
        <w:rPr>
          <w:rFonts w:ascii="Times New Roman" w:hAnsi="Times New Roman" w:cs="Times New Roman"/>
          <w:i/>
          <w:iCs/>
          <w:sz w:val="24"/>
          <w:szCs w:val="24"/>
        </w:rPr>
        <w:t>387</w:t>
      </w:r>
      <w:r w:rsidRPr="00A64C95">
        <w:rPr>
          <w:rFonts w:ascii="Times New Roman" w:hAnsi="Times New Roman" w:cs="Times New Roman"/>
          <w:sz w:val="24"/>
          <w:szCs w:val="24"/>
        </w:rPr>
        <w:t>(10021), pp.907-916.</w:t>
      </w:r>
    </w:p>
    <w:sectPr w:rsidR="00A64C95" w:rsidRPr="00A64C95" w:rsidSect="00B9089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9E9" w:rsidRDefault="00F519E9" w:rsidP="00B90890">
      <w:pPr>
        <w:spacing w:after="0" w:line="240" w:lineRule="auto"/>
      </w:pPr>
      <w:r>
        <w:separator/>
      </w:r>
    </w:p>
  </w:endnote>
  <w:endnote w:type="continuationSeparator" w:id="0">
    <w:p w:rsidR="00F519E9" w:rsidRDefault="00F519E9" w:rsidP="00B9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9E9" w:rsidRDefault="00F519E9" w:rsidP="00B90890">
      <w:pPr>
        <w:spacing w:after="0" w:line="240" w:lineRule="auto"/>
      </w:pPr>
      <w:r>
        <w:separator/>
      </w:r>
    </w:p>
  </w:footnote>
  <w:footnote w:type="continuationSeparator" w:id="0">
    <w:p w:rsidR="00F519E9" w:rsidRDefault="00F519E9" w:rsidP="00B90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90" w:rsidRPr="00B90890" w:rsidRDefault="00B90890" w:rsidP="00B9089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90" w:rsidRPr="00B90890" w:rsidRDefault="00B90890" w:rsidP="00B90890">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2A"/>
    <w:rsid w:val="000A2EF1"/>
    <w:rsid w:val="000F56A4"/>
    <w:rsid w:val="00134D80"/>
    <w:rsid w:val="001720D8"/>
    <w:rsid w:val="001C65EA"/>
    <w:rsid w:val="001D60CD"/>
    <w:rsid w:val="00247496"/>
    <w:rsid w:val="00252C14"/>
    <w:rsid w:val="00293AA3"/>
    <w:rsid w:val="002A63B7"/>
    <w:rsid w:val="00471260"/>
    <w:rsid w:val="008426A5"/>
    <w:rsid w:val="00893E6E"/>
    <w:rsid w:val="00903A21"/>
    <w:rsid w:val="00930485"/>
    <w:rsid w:val="009D4E2A"/>
    <w:rsid w:val="00A64C95"/>
    <w:rsid w:val="00B90890"/>
    <w:rsid w:val="00C63B66"/>
    <w:rsid w:val="00C86E15"/>
    <w:rsid w:val="00D51696"/>
    <w:rsid w:val="00D542B7"/>
    <w:rsid w:val="00DE0967"/>
    <w:rsid w:val="00E85968"/>
    <w:rsid w:val="00F519E9"/>
    <w:rsid w:val="00FA7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F888AE-12A4-4DCA-9CF1-210A68C0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E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90"/>
  </w:style>
  <w:style w:type="paragraph" w:styleId="Footer">
    <w:name w:val="footer"/>
    <w:basedOn w:val="Normal"/>
    <w:link w:val="FooterChar"/>
    <w:uiPriority w:val="99"/>
    <w:unhideWhenUsed/>
    <w:rsid w:val="00B9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2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cp:revision>
  <dcterms:created xsi:type="dcterms:W3CDTF">2020-07-30T12:26:00Z</dcterms:created>
  <dcterms:modified xsi:type="dcterms:W3CDTF">2020-07-30T12:26:00Z</dcterms:modified>
</cp:coreProperties>
</file>